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bookmarkStart w:id="53" w:name="_GoBack"/>
      <w:bookmarkEnd w:id="53"/>
    </w:p>
    <w:p>
      <w:pPr>
        <w:spacing w:line="1000" w:lineRule="exact"/>
        <w:jc w:val="center"/>
        <w:outlineLvl w:val="0"/>
        <w:rPr>
          <w:rFonts w:ascii="方正小标宋简体" w:eastAsia="方正小标宋简体"/>
          <w:color w:val="000000"/>
          <w:sz w:val="52"/>
          <w:szCs w:val="52"/>
        </w:rPr>
      </w:pPr>
      <w:r>
        <w:rPr>
          <w:rFonts w:ascii="方正小标宋简体" w:eastAsia="方正小标宋简体" w:cs="方正小标宋简体"/>
          <w:color w:val="000000"/>
          <w:sz w:val="52"/>
          <w:szCs w:val="52"/>
        </w:rPr>
        <w:t>201</w:t>
      </w:r>
      <w:r>
        <w:rPr>
          <w:rFonts w:hint="eastAsia" w:ascii="方正小标宋简体" w:eastAsia="方正小标宋简体" w:cs="方正小标宋简体"/>
          <w:color w:val="000000"/>
          <w:sz w:val="52"/>
          <w:szCs w:val="52"/>
        </w:rPr>
        <w:t>9年度</w:t>
      </w:r>
    </w:p>
    <w:p>
      <w:pPr>
        <w:adjustRightInd w:val="0"/>
        <w:snapToGrid w:val="0"/>
        <w:spacing w:line="1000" w:lineRule="exact"/>
        <w:jc w:val="center"/>
        <w:rPr>
          <w:rFonts w:ascii="方正小标宋简体" w:eastAsia="方正小标宋简体"/>
          <w:color w:val="000000"/>
          <w:sz w:val="52"/>
          <w:szCs w:val="52"/>
        </w:rPr>
      </w:pPr>
      <w:r>
        <w:rPr>
          <w:rFonts w:hint="eastAsia" w:ascii="方正小标宋简体" w:eastAsia="方正小标宋简体" w:cs="方正小标宋简体"/>
          <w:color w:val="000000"/>
          <w:sz w:val="52"/>
          <w:szCs w:val="52"/>
        </w:rPr>
        <w:t>遂宁市人力资源和社会保障局</w:t>
      </w:r>
    </w:p>
    <w:p>
      <w:pPr>
        <w:adjustRightInd w:val="0"/>
        <w:snapToGrid w:val="0"/>
        <w:spacing w:line="1000" w:lineRule="exact"/>
        <w:jc w:val="center"/>
        <w:rPr>
          <w:rFonts w:ascii="方正小标宋简体" w:eastAsia="方正小标宋简体"/>
          <w:color w:val="000000"/>
          <w:sz w:val="52"/>
          <w:szCs w:val="52"/>
        </w:rPr>
      </w:pPr>
    </w:p>
    <w:p>
      <w:pPr>
        <w:adjustRightInd w:val="0"/>
        <w:snapToGrid w:val="0"/>
        <w:spacing w:line="2000" w:lineRule="exact"/>
        <w:jc w:val="center"/>
        <w:rPr>
          <w:rFonts w:ascii="方正小标宋简体" w:eastAsia="方正小标宋简体"/>
          <w:color w:val="000000"/>
          <w:sz w:val="90"/>
          <w:szCs w:val="90"/>
        </w:rPr>
      </w:pPr>
      <w:r>
        <w:rPr>
          <w:rFonts w:hint="eastAsia" w:ascii="方正小标宋简体" w:eastAsia="方正小标宋简体" w:cs="方正小标宋简体"/>
          <w:color w:val="000000"/>
          <w:sz w:val="90"/>
          <w:szCs w:val="90"/>
        </w:rPr>
        <w:t>部</w:t>
      </w:r>
    </w:p>
    <w:p>
      <w:pPr>
        <w:adjustRightInd w:val="0"/>
        <w:snapToGrid w:val="0"/>
        <w:spacing w:line="2000" w:lineRule="exact"/>
        <w:jc w:val="center"/>
        <w:rPr>
          <w:rFonts w:ascii="方正小标宋简体" w:eastAsia="方正小标宋简体"/>
          <w:color w:val="000000"/>
          <w:sz w:val="90"/>
          <w:szCs w:val="90"/>
        </w:rPr>
      </w:pPr>
      <w:r>
        <w:rPr>
          <w:rFonts w:hint="eastAsia" w:ascii="方正小标宋简体" w:eastAsia="方正小标宋简体" w:cs="方正小标宋简体"/>
          <w:color w:val="000000"/>
          <w:sz w:val="90"/>
          <w:szCs w:val="90"/>
        </w:rPr>
        <w:t>门</w:t>
      </w:r>
    </w:p>
    <w:p>
      <w:pPr>
        <w:adjustRightInd w:val="0"/>
        <w:snapToGrid w:val="0"/>
        <w:spacing w:line="2000" w:lineRule="exact"/>
        <w:jc w:val="center"/>
        <w:rPr>
          <w:rFonts w:ascii="方正小标宋简体" w:eastAsia="方正小标宋简体"/>
          <w:color w:val="000000"/>
          <w:sz w:val="90"/>
          <w:szCs w:val="90"/>
        </w:rPr>
      </w:pPr>
      <w:r>
        <w:rPr>
          <w:rFonts w:hint="eastAsia" w:ascii="方正小标宋简体" w:eastAsia="方正小标宋简体" w:cs="方正小标宋简体"/>
          <w:color w:val="000000"/>
          <w:sz w:val="90"/>
          <w:szCs w:val="90"/>
        </w:rPr>
        <w:t>决</w:t>
      </w:r>
    </w:p>
    <w:p>
      <w:pPr>
        <w:adjustRightInd w:val="0"/>
        <w:snapToGrid w:val="0"/>
        <w:spacing w:line="2000" w:lineRule="exact"/>
        <w:jc w:val="center"/>
        <w:rPr>
          <w:rFonts w:ascii="方正小标宋简体" w:eastAsia="方正小标宋简体"/>
          <w:color w:val="000000"/>
          <w:sz w:val="90"/>
          <w:szCs w:val="90"/>
        </w:rPr>
      </w:pPr>
      <w:r>
        <w:rPr>
          <w:rFonts w:hint="eastAsia" w:ascii="方正小标宋简体" w:eastAsia="方正小标宋简体" w:cs="方正小标宋简体"/>
          <w:color w:val="000000"/>
          <w:sz w:val="90"/>
          <w:szCs w:val="90"/>
        </w:rPr>
        <w:t>算</w:t>
      </w:r>
    </w:p>
    <w:p>
      <w:pPr>
        <w:adjustRightInd w:val="0"/>
        <w:snapToGrid w:val="0"/>
        <w:spacing w:line="1000" w:lineRule="exact"/>
        <w:jc w:val="center"/>
        <w:outlineLvl w:val="0"/>
        <w:rPr>
          <w:rFonts w:ascii="方正小标宋简体" w:eastAsia="方正小标宋简体"/>
          <w:color w:val="000000"/>
          <w:sz w:val="72"/>
          <w:szCs w:val="72"/>
        </w:rPr>
      </w:pPr>
    </w:p>
    <w:p>
      <w:pPr>
        <w:spacing w:line="1000" w:lineRule="exact"/>
        <w:jc w:val="center"/>
        <w:outlineLvl w:val="0"/>
        <w:rPr>
          <w:rFonts w:ascii="方正小标宋简体" w:eastAsia="方正小标宋简体"/>
          <w:color w:val="000000"/>
          <w:sz w:val="72"/>
          <w:szCs w:val="72"/>
        </w:rPr>
      </w:pPr>
    </w:p>
    <w:bookmarkEnd w:id="0"/>
    <w:p>
      <w:pPr>
        <w:jc w:val="center"/>
        <w:rPr>
          <w:rFonts w:ascii="黑体" w:hAnsi="黑体" w:eastAsia="黑体"/>
          <w:color w:val="000000"/>
          <w:sz w:val="48"/>
          <w:szCs w:val="48"/>
        </w:rPr>
      </w:pPr>
      <w:r>
        <w:rPr>
          <w:rFonts w:ascii="方正小标宋简体" w:eastAsia="方正小标宋简体"/>
          <w:color w:val="000000"/>
          <w:sz w:val="36"/>
          <w:szCs w:val="36"/>
        </w:rPr>
        <w:br w:type="page"/>
      </w:r>
      <w:r>
        <w:rPr>
          <w:rFonts w:ascii="黑体" w:hAnsi="黑体" w:eastAsia="黑体" w:cs="黑体"/>
          <w:color w:val="000000"/>
          <w:sz w:val="48"/>
          <w:szCs w:val="48"/>
        </w:rPr>
        <w:t xml:space="preserve"> </w:t>
      </w:r>
      <w:r>
        <w:rPr>
          <w:rFonts w:hint="eastAsia" w:ascii="黑体" w:hAnsi="黑体" w:eastAsia="黑体" w:cs="黑体"/>
          <w:color w:val="000000"/>
          <w:sz w:val="48"/>
          <w:szCs w:val="48"/>
        </w:rPr>
        <w:t>目</w:t>
      </w:r>
      <w:r>
        <w:rPr>
          <w:rFonts w:ascii="黑体" w:hAnsi="黑体" w:eastAsia="黑体" w:cs="黑体"/>
          <w:color w:val="000000"/>
          <w:sz w:val="48"/>
          <w:szCs w:val="48"/>
        </w:rPr>
        <w:t xml:space="preserve">  </w:t>
      </w:r>
      <w:r>
        <w:rPr>
          <w:rFonts w:hint="eastAsia" w:ascii="黑体" w:hAnsi="黑体" w:eastAsia="黑体" w:cs="黑体"/>
          <w:color w:val="000000"/>
          <w:sz w:val="48"/>
          <w:szCs w:val="48"/>
        </w:rPr>
        <w:t>录</w:t>
      </w:r>
    </w:p>
    <w:p>
      <w:pPr>
        <w:pStyle w:val="12"/>
        <w:ind w:firstLine="2660" w:firstLineChars="950"/>
        <w:jc w:val="both"/>
        <w:rPr>
          <w:rFonts w:cs="Times New Roman"/>
        </w:rPr>
      </w:pPr>
      <w:r>
        <w:rPr>
          <w:rFonts w:hint="eastAsia"/>
        </w:rPr>
        <w:t>公开时间：2020年</w:t>
      </w:r>
      <w:r>
        <w:t>9</w:t>
      </w:r>
      <w:r>
        <w:rPr>
          <w:rFonts w:hint="eastAsia"/>
        </w:rPr>
        <w:t>月23日</w:t>
      </w:r>
    </w:p>
    <w:p>
      <w:pPr>
        <w:pStyle w:val="12"/>
        <w:jc w:val="left"/>
        <w:rPr>
          <w:rStyle w:val="21"/>
          <w:rFonts w:ascii="仿宋_GB2312" w:eastAsia="仿宋_GB2312" w:cs="仿宋_GB2312"/>
        </w:rPr>
      </w:pPr>
      <w:r>
        <w:rPr>
          <w:rFonts w:ascii="仿宋_GB2312" w:eastAsia="仿宋_GB2312" w:cs="仿宋_GB2312"/>
        </w:rPr>
        <w:fldChar w:fldCharType="begin"/>
      </w:r>
      <w:r>
        <w:rPr>
          <w:rFonts w:ascii="仿宋_GB2312" w:eastAsia="仿宋_GB2312" w:cs="仿宋_GB2312"/>
        </w:rPr>
        <w:instrText xml:space="preserve"> TOC \o "1-2" \h \z \u </w:instrText>
      </w:r>
      <w:r>
        <w:rPr>
          <w:rFonts w:ascii="仿宋_GB2312" w:eastAsia="仿宋_GB2312" w:cs="仿宋_GB2312"/>
        </w:rPr>
        <w:fldChar w:fldCharType="separate"/>
      </w:r>
      <w:r>
        <w:fldChar w:fldCharType="begin"/>
      </w:r>
      <w:r>
        <w:instrText xml:space="preserve"> HYPERLINK \l "_Toc17205299" </w:instrText>
      </w:r>
      <w:r>
        <w:fldChar w:fldCharType="separate"/>
      </w:r>
      <w:r>
        <w:rPr>
          <w:rStyle w:val="21"/>
          <w:rFonts w:hint="eastAsia" w:ascii="仿宋_GB2312" w:eastAsia="仿宋_GB2312" w:cs="仿宋_GB2312"/>
        </w:rPr>
        <w:t>第一部分</w:t>
      </w:r>
      <w:r>
        <w:rPr>
          <w:rStyle w:val="21"/>
          <w:rFonts w:ascii="仿宋_GB2312" w:eastAsia="仿宋_GB2312" w:cs="仿宋_GB2312"/>
        </w:rPr>
        <w:t xml:space="preserve"> </w:t>
      </w:r>
      <w:r>
        <w:rPr>
          <w:rStyle w:val="21"/>
          <w:rFonts w:hint="eastAsia" w:ascii="仿宋_GB2312" w:eastAsia="仿宋_GB2312" w:cs="仿宋_GB2312"/>
        </w:rPr>
        <w:t>部门概况</w:t>
      </w:r>
      <w:r>
        <w:rPr>
          <w:rStyle w:val="21"/>
          <w:rFonts w:hint="eastAsia" w:ascii="仿宋_GB2312" w:eastAsia="仿宋_GB2312" w:cs="仿宋_GB2312"/>
        </w:rPr>
        <w:fldChar w:fldCharType="end"/>
      </w:r>
      <w:r>
        <w:rPr>
          <w:rStyle w:val="21"/>
          <w:rFonts w:ascii="仿宋_GB2312" w:eastAsia="仿宋_GB2312" w:cs="仿宋_GB2312"/>
        </w:rPr>
        <w:t xml:space="preserve"> </w:t>
      </w:r>
    </w:p>
    <w:p>
      <w:pPr>
        <w:pStyle w:val="12"/>
        <w:ind w:firstLine="560" w:firstLineChars="200"/>
        <w:jc w:val="left"/>
        <w:rPr>
          <w:rStyle w:val="21"/>
          <w:rFonts w:ascii="仿宋_GB2312" w:eastAsia="仿宋_GB2312" w:cs="Times New Roman"/>
        </w:rPr>
      </w:pPr>
      <w:r>
        <w:fldChar w:fldCharType="begin"/>
      </w:r>
      <w:r>
        <w:instrText xml:space="preserve"> HYPERLINK \l "_Toc17205300" </w:instrText>
      </w:r>
      <w:r>
        <w:fldChar w:fldCharType="separate"/>
      </w:r>
      <w:r>
        <w:rPr>
          <w:rStyle w:val="21"/>
          <w:rFonts w:hint="eastAsia" w:ascii="仿宋_GB2312" w:eastAsia="仿宋_GB2312" w:cs="仿宋_GB2312"/>
        </w:rPr>
        <w:t>一、基本职能及主要工作</w:t>
      </w:r>
      <w:r>
        <w:rPr>
          <w:rStyle w:val="21"/>
          <w:rFonts w:hint="eastAsia" w:ascii="仿宋_GB2312" w:eastAsia="仿宋_GB2312" w:cs="仿宋_GB2312"/>
        </w:rPr>
        <w:fldChar w:fldCharType="end"/>
      </w:r>
    </w:p>
    <w:p>
      <w:pPr>
        <w:pStyle w:val="12"/>
        <w:ind w:firstLine="560" w:firstLineChars="200"/>
        <w:jc w:val="left"/>
        <w:rPr>
          <w:rStyle w:val="21"/>
          <w:rFonts w:ascii="仿宋_GB2312" w:eastAsia="仿宋_GB2312" w:cs="Times New Roman"/>
        </w:rPr>
      </w:pPr>
      <w:r>
        <w:fldChar w:fldCharType="begin"/>
      </w:r>
      <w:r>
        <w:instrText xml:space="preserve"> HYPERLINK \l "_Toc17205301" </w:instrText>
      </w:r>
      <w:r>
        <w:fldChar w:fldCharType="separate"/>
      </w:r>
      <w:r>
        <w:rPr>
          <w:rStyle w:val="21"/>
          <w:rFonts w:hint="eastAsia" w:ascii="仿宋_GB2312" w:eastAsia="仿宋_GB2312" w:cs="仿宋_GB2312"/>
        </w:rPr>
        <w:t>二、机构设置</w:t>
      </w:r>
      <w:r>
        <w:rPr>
          <w:rStyle w:val="21"/>
          <w:rFonts w:ascii="仿宋_GB2312" w:eastAsia="仿宋_GB2312" w:cs="仿宋_GB2312"/>
        </w:rPr>
        <w:t xml:space="preserve"> </w:t>
      </w:r>
      <w:r>
        <w:rPr>
          <w:rStyle w:val="21"/>
          <w:rFonts w:ascii="仿宋_GB2312" w:eastAsia="仿宋_GB2312" w:cs="仿宋_GB2312"/>
        </w:rPr>
        <w:fldChar w:fldCharType="end"/>
      </w:r>
    </w:p>
    <w:p>
      <w:pPr>
        <w:pStyle w:val="12"/>
        <w:jc w:val="left"/>
        <w:rPr>
          <w:rStyle w:val="21"/>
          <w:rFonts w:ascii="仿宋_GB2312" w:eastAsia="仿宋_GB2312" w:cs="Times New Roman"/>
        </w:rPr>
      </w:pPr>
      <w:r>
        <w:fldChar w:fldCharType="begin"/>
      </w:r>
      <w:r>
        <w:instrText xml:space="preserve"> HYPERLINK \l "_Toc17205302" </w:instrText>
      </w:r>
      <w:r>
        <w:fldChar w:fldCharType="separate"/>
      </w:r>
      <w:r>
        <w:rPr>
          <w:rStyle w:val="21"/>
          <w:rFonts w:hint="eastAsia" w:ascii="仿宋_GB2312" w:eastAsia="仿宋_GB2312" w:cs="仿宋_GB2312"/>
        </w:rPr>
        <w:t>第二部分</w:t>
      </w:r>
      <w:r>
        <w:rPr>
          <w:rStyle w:val="21"/>
          <w:rFonts w:ascii="仿宋_GB2312" w:eastAsia="仿宋_GB2312" w:cs="仿宋_GB2312"/>
        </w:rPr>
        <w:t xml:space="preserve"> 2018</w:t>
      </w:r>
      <w:r>
        <w:rPr>
          <w:rStyle w:val="21"/>
          <w:rFonts w:hint="eastAsia" w:ascii="仿宋_GB2312" w:eastAsia="仿宋_GB2312" w:cs="仿宋_GB2312"/>
        </w:rPr>
        <w:t>年度部门决算情况说明</w:t>
      </w:r>
      <w:r>
        <w:rPr>
          <w:rStyle w:val="21"/>
          <w:rFonts w:hint="eastAsia" w:ascii="仿宋_GB2312" w:eastAsia="仿宋_GB2312" w:cs="仿宋_GB2312"/>
        </w:rPr>
        <w:fldChar w:fldCharType="end"/>
      </w:r>
    </w:p>
    <w:p>
      <w:pPr>
        <w:pStyle w:val="13"/>
        <w:ind w:left="480" w:firstLine="140" w:firstLineChars="50"/>
        <w:rPr>
          <w:rStyle w:val="21"/>
          <w:rFonts w:ascii="仿宋_GB2312" w:eastAsia="仿宋_GB2312" w:cs="Times New Roman"/>
        </w:rPr>
      </w:pPr>
      <w:r>
        <w:fldChar w:fldCharType="begin"/>
      </w:r>
      <w:r>
        <w:instrText xml:space="preserve"> HYPERLINK \l "_Toc17205303" </w:instrText>
      </w:r>
      <w:r>
        <w:fldChar w:fldCharType="separate"/>
      </w:r>
      <w:r>
        <w:rPr>
          <w:rStyle w:val="21"/>
          <w:rFonts w:hint="eastAsia" w:ascii="仿宋_GB2312" w:eastAsia="仿宋_GB2312" w:cs="仿宋_GB2312"/>
        </w:rPr>
        <w:t>一、收入支出决算总体情况说明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"_Toc17205304" </w:instrText>
      </w:r>
      <w:r>
        <w:fldChar w:fldCharType="separate"/>
      </w:r>
      <w:r>
        <w:rPr>
          <w:rStyle w:val="21"/>
          <w:rFonts w:hint="eastAsia" w:ascii="仿宋_GB2312" w:eastAsia="仿宋_GB2312" w:cs="仿宋_GB2312"/>
        </w:rPr>
        <w:t>二、收入决算情况说明</w:t>
      </w:r>
      <w:r>
        <w:rPr>
          <w:rStyle w:val="21"/>
          <w:rFonts w:hint="eastAsia" w:ascii="仿宋_GB2312" w:eastAsia="仿宋_GB2312" w:cs="仿宋_GB2312"/>
        </w:rPr>
        <w:fldChar w:fldCharType="end"/>
      </w:r>
    </w:p>
    <w:p>
      <w:pPr>
        <w:pStyle w:val="13"/>
        <w:tabs>
          <w:tab w:val="left" w:pos="1470"/>
        </w:tabs>
        <w:ind w:left="480" w:firstLine="140" w:firstLineChars="50"/>
        <w:rPr>
          <w:rFonts w:ascii="仿宋_GB2312" w:hAnsi="Calibri" w:eastAsia="仿宋_GB2312" w:cs="Times New Roman"/>
          <w:sz w:val="21"/>
          <w:szCs w:val="21"/>
        </w:rPr>
      </w:pPr>
      <w:r>
        <w:fldChar w:fldCharType="begin"/>
      </w:r>
      <w:r>
        <w:instrText xml:space="preserve"> HYPERLINK \l "_Toc17205305" </w:instrText>
      </w:r>
      <w:r>
        <w:fldChar w:fldCharType="separate"/>
      </w:r>
      <w:r>
        <w:rPr>
          <w:rStyle w:val="21"/>
          <w:rFonts w:hint="eastAsia" w:ascii="仿宋_GB2312" w:eastAsia="仿宋_GB2312" w:cs="仿宋_GB2312"/>
        </w:rPr>
        <w:t>三、支出决算情况说明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"_Toc17205306" </w:instrText>
      </w:r>
      <w:r>
        <w:fldChar w:fldCharType="separate"/>
      </w:r>
      <w:r>
        <w:rPr>
          <w:rStyle w:val="21"/>
          <w:rFonts w:hint="eastAsia" w:ascii="仿宋_GB2312" w:eastAsia="仿宋_GB2312" w:cs="仿宋_GB2312"/>
        </w:rPr>
        <w:t>四、财政拨款收入支出决算总体情况说明</w:t>
      </w:r>
      <w:r>
        <w:rPr>
          <w:rStyle w:val="21"/>
          <w:rFonts w:hint="eastAsia" w:ascii="仿宋_GB2312" w:eastAsia="仿宋_GB2312" w:cs="仿宋_GB2312"/>
        </w:rPr>
        <w:fldChar w:fldCharType="end"/>
      </w:r>
    </w:p>
    <w:p>
      <w:pPr>
        <w:pStyle w:val="12"/>
        <w:ind w:firstLine="560" w:firstLineChars="200"/>
        <w:jc w:val="left"/>
        <w:rPr>
          <w:rFonts w:ascii="仿宋_GB2312" w:hAnsi="Calibri" w:eastAsia="仿宋_GB2312" w:cs="Times New Roman"/>
          <w:sz w:val="21"/>
          <w:szCs w:val="21"/>
        </w:rPr>
      </w:pPr>
      <w:r>
        <w:fldChar w:fldCharType="begin"/>
      </w:r>
      <w:r>
        <w:instrText xml:space="preserve"> HYPERLINK \l "_Toc17205307" </w:instrText>
      </w:r>
      <w:r>
        <w:fldChar w:fldCharType="separate"/>
      </w:r>
      <w:r>
        <w:rPr>
          <w:rStyle w:val="21"/>
          <w:rFonts w:hint="eastAsia" w:ascii="仿宋_GB2312" w:eastAsia="仿宋_GB2312" w:cs="仿宋_GB2312"/>
        </w:rPr>
        <w:t>五、一般公共预算财政拨款支出决算情况说明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"_Toc17205308" </w:instrText>
      </w:r>
      <w:r>
        <w:fldChar w:fldCharType="separate"/>
      </w:r>
      <w:r>
        <w:rPr>
          <w:rStyle w:val="21"/>
          <w:rFonts w:hint="eastAsia" w:ascii="仿宋_GB2312" w:eastAsia="仿宋_GB2312" w:cs="仿宋_GB2312"/>
        </w:rPr>
        <w:t>六、一般公共预算财政拨款基本支出决算情况说明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"_Toc17205310" </w:instrText>
      </w:r>
      <w:r>
        <w:fldChar w:fldCharType="separate"/>
      </w:r>
      <w:r>
        <w:rPr>
          <w:rStyle w:val="21"/>
          <w:rFonts w:hint="eastAsia" w:ascii="仿宋_GB2312" w:eastAsia="仿宋_GB2312" w:cs="仿宋_GB2312"/>
        </w:rPr>
        <w:t>七、“三公”经费财政拨款支出决算情况说明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"_Toc17205311" </w:instrText>
      </w:r>
      <w:r>
        <w:fldChar w:fldCharType="separate"/>
      </w:r>
      <w:r>
        <w:rPr>
          <w:rStyle w:val="21"/>
          <w:rFonts w:hint="eastAsia" w:ascii="仿宋_GB2312" w:eastAsia="仿宋_GB2312" w:cs="仿宋_GB2312"/>
        </w:rPr>
        <w:t>八、政府性基金预算支出决算情况说明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"_Toc17205312" </w:instrText>
      </w:r>
      <w:r>
        <w:fldChar w:fldCharType="separate"/>
      </w:r>
      <w:r>
        <w:rPr>
          <w:rStyle w:val="21"/>
          <w:rFonts w:hint="eastAsia" w:ascii="仿宋_GB2312" w:eastAsia="仿宋_GB2312" w:cs="仿宋_GB2312"/>
        </w:rPr>
        <w:t>九、国有资本经营预算支出决算情况说明</w:t>
      </w:r>
      <w:r>
        <w:rPr>
          <w:rStyle w:val="21"/>
          <w:rFonts w:hint="eastAsia" w:ascii="仿宋_GB2312" w:eastAsia="仿宋_GB2312" w:cs="仿宋_GB2312"/>
        </w:rPr>
        <w:fldChar w:fldCharType="end"/>
      </w:r>
    </w:p>
    <w:p>
      <w:pPr>
        <w:pStyle w:val="13"/>
        <w:tabs>
          <w:tab w:val="left" w:pos="1470"/>
        </w:tabs>
        <w:ind w:left="480" w:firstLine="140" w:firstLineChars="50"/>
        <w:rPr>
          <w:rFonts w:ascii="仿宋_GB2312" w:hAnsi="Calibri" w:eastAsia="仿宋_GB2312" w:cs="Times New Roman"/>
          <w:sz w:val="21"/>
          <w:szCs w:val="21"/>
        </w:rPr>
      </w:pPr>
      <w:r>
        <w:fldChar w:fldCharType="begin"/>
      </w:r>
      <w:r>
        <w:instrText xml:space="preserve"> HYPERLINK \l "_Toc17205313" </w:instrText>
      </w:r>
      <w:r>
        <w:fldChar w:fldCharType="separate"/>
      </w:r>
      <w:r>
        <w:rPr>
          <w:rStyle w:val="21"/>
          <w:rFonts w:hint="eastAsia" w:ascii="仿宋_GB2312" w:eastAsia="仿宋_GB2312" w:cs="仿宋_GB2312"/>
        </w:rPr>
        <w:t>十、预算绩效情况说明</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"_Toc17205314" </w:instrText>
      </w:r>
      <w:r>
        <w:fldChar w:fldCharType="separate"/>
      </w:r>
      <w:r>
        <w:rPr>
          <w:rStyle w:val="21"/>
          <w:rFonts w:hint="eastAsia" w:ascii="仿宋_GB2312" w:eastAsia="仿宋_GB2312" w:cs="仿宋_GB2312"/>
        </w:rPr>
        <w:t>十一、其他重要事项的情况说明</w:t>
      </w:r>
      <w:r>
        <w:rPr>
          <w:rStyle w:val="21"/>
          <w:rFonts w:hint="eastAsia" w:ascii="仿宋_GB2312" w:eastAsia="仿宋_GB2312" w:cs="仿宋_GB2312"/>
        </w:rPr>
        <w:fldChar w:fldCharType="end"/>
      </w:r>
    </w:p>
    <w:p>
      <w:pPr>
        <w:pStyle w:val="12"/>
        <w:jc w:val="left"/>
        <w:rPr>
          <w:rStyle w:val="21"/>
          <w:rFonts w:ascii="仿宋_GB2312" w:eastAsia="仿宋_GB2312" w:cs="Times New Roman"/>
        </w:rPr>
      </w:pPr>
      <w:r>
        <w:fldChar w:fldCharType="begin"/>
      </w:r>
      <w:r>
        <w:instrText xml:space="preserve"> HYPERLINK \l "_Toc17205315" </w:instrText>
      </w:r>
      <w:r>
        <w:fldChar w:fldCharType="separate"/>
      </w:r>
      <w:r>
        <w:rPr>
          <w:rStyle w:val="21"/>
          <w:rFonts w:hint="eastAsia" w:ascii="仿宋_GB2312" w:eastAsia="仿宋_GB2312" w:cs="仿宋_GB2312"/>
        </w:rPr>
        <w:t>第三部分</w:t>
      </w:r>
      <w:r>
        <w:rPr>
          <w:rStyle w:val="21"/>
          <w:rFonts w:ascii="仿宋_GB2312" w:eastAsia="仿宋_GB2312" w:cs="仿宋_GB2312"/>
        </w:rPr>
        <w:t xml:space="preserve"> </w:t>
      </w:r>
      <w:r>
        <w:rPr>
          <w:rStyle w:val="21"/>
          <w:rFonts w:hint="eastAsia" w:ascii="仿宋_GB2312" w:eastAsia="仿宋_GB2312" w:cs="仿宋_GB2312"/>
        </w:rPr>
        <w:t>名词解释</w:t>
      </w:r>
      <w:r>
        <w:rPr>
          <w:rStyle w:val="21"/>
          <w:rFonts w:hint="eastAsia" w:ascii="仿宋_GB2312" w:eastAsia="仿宋_GB2312" w:cs="仿宋_GB2312"/>
        </w:rPr>
        <w:fldChar w:fldCharType="end"/>
      </w:r>
    </w:p>
    <w:p>
      <w:pPr>
        <w:pStyle w:val="12"/>
        <w:jc w:val="left"/>
        <w:rPr>
          <w:rStyle w:val="21"/>
          <w:rFonts w:ascii="仿宋_GB2312" w:eastAsia="仿宋_GB2312" w:cs="Times New Roman"/>
        </w:rPr>
      </w:pPr>
      <w:r>
        <w:fldChar w:fldCharType="begin"/>
      </w:r>
      <w:r>
        <w:instrText xml:space="preserve"> HYPERLINK \l "_Toc17205316" </w:instrText>
      </w:r>
      <w:r>
        <w:fldChar w:fldCharType="separate"/>
      </w:r>
      <w:r>
        <w:rPr>
          <w:rStyle w:val="21"/>
          <w:rFonts w:hint="eastAsia" w:ascii="仿宋_GB2312" w:eastAsia="仿宋_GB2312" w:cs="仿宋_GB2312"/>
        </w:rPr>
        <w:t>第四部分</w:t>
      </w:r>
      <w:r>
        <w:rPr>
          <w:rStyle w:val="21"/>
          <w:rFonts w:ascii="仿宋_GB2312" w:eastAsia="仿宋_GB2312" w:cs="仿宋_GB2312"/>
        </w:rPr>
        <w:t xml:space="preserve"> </w:t>
      </w:r>
      <w:r>
        <w:rPr>
          <w:rStyle w:val="21"/>
          <w:rFonts w:hint="eastAsia" w:ascii="仿宋_GB2312" w:eastAsia="仿宋_GB2312" w:cs="仿宋_GB2312"/>
        </w:rPr>
        <w:t>附件</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"_Toc17205317" </w:instrText>
      </w:r>
      <w:r>
        <w:fldChar w:fldCharType="separate"/>
      </w:r>
      <w:r>
        <w:rPr>
          <w:rStyle w:val="21"/>
          <w:rFonts w:hint="eastAsia" w:ascii="仿宋_GB2312" w:eastAsia="仿宋_GB2312" w:cs="仿宋_GB2312"/>
          <w:kern w:val="44"/>
        </w:rPr>
        <w:t>附件</w:t>
      </w:r>
      <w:r>
        <w:rPr>
          <w:rStyle w:val="21"/>
          <w:rFonts w:ascii="仿宋_GB2312" w:eastAsia="仿宋_GB2312" w:cs="仿宋_GB2312"/>
          <w:kern w:val="44"/>
        </w:rPr>
        <w:t>1</w:t>
      </w:r>
      <w:r>
        <w:rPr>
          <w:rStyle w:val="21"/>
          <w:rFonts w:ascii="仿宋_GB2312" w:eastAsia="仿宋_GB2312" w:cs="仿宋_GB2312"/>
          <w:kern w:val="44"/>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"_Toc17205318" </w:instrText>
      </w:r>
      <w:r>
        <w:fldChar w:fldCharType="separate"/>
      </w:r>
      <w:r>
        <w:rPr>
          <w:rStyle w:val="21"/>
          <w:rFonts w:hint="eastAsia" w:ascii="仿宋_GB2312" w:eastAsia="仿宋_GB2312" w:cs="仿宋_GB2312"/>
          <w:kern w:val="44"/>
        </w:rPr>
        <w:t>附件</w:t>
      </w:r>
      <w:r>
        <w:rPr>
          <w:rStyle w:val="21"/>
          <w:rFonts w:ascii="仿宋_GB2312" w:eastAsia="仿宋_GB2312" w:cs="仿宋_GB2312"/>
          <w:kern w:val="44"/>
        </w:rPr>
        <w:t>2</w:t>
      </w:r>
      <w:r>
        <w:rPr>
          <w:rStyle w:val="21"/>
          <w:rFonts w:ascii="仿宋_GB2312" w:eastAsia="仿宋_GB2312" w:cs="仿宋_GB2312"/>
          <w:kern w:val="44"/>
        </w:rPr>
        <w:fldChar w:fldCharType="end"/>
      </w:r>
    </w:p>
    <w:p>
      <w:pPr>
        <w:pStyle w:val="12"/>
        <w:jc w:val="left"/>
        <w:rPr>
          <w:rStyle w:val="21"/>
          <w:rFonts w:ascii="仿宋_GB2312" w:eastAsia="仿宋_GB2312" w:cs="Times New Roman"/>
        </w:rPr>
      </w:pPr>
      <w:r>
        <w:fldChar w:fldCharType="begin"/>
      </w:r>
      <w:r>
        <w:instrText xml:space="preserve"> HYPERLINK \l "_Toc17205319" </w:instrText>
      </w:r>
      <w:r>
        <w:fldChar w:fldCharType="separate"/>
      </w:r>
      <w:r>
        <w:rPr>
          <w:rStyle w:val="21"/>
          <w:rFonts w:hint="eastAsia" w:ascii="仿宋_GB2312" w:eastAsia="仿宋_GB2312" w:cs="仿宋_GB2312"/>
        </w:rPr>
        <w:t>第五部分</w:t>
      </w:r>
      <w:r>
        <w:rPr>
          <w:rStyle w:val="21"/>
          <w:rFonts w:ascii="仿宋_GB2312" w:eastAsia="仿宋_GB2312" w:cs="仿宋_GB2312"/>
        </w:rPr>
        <w:t xml:space="preserve"> </w:t>
      </w:r>
      <w:r>
        <w:rPr>
          <w:rStyle w:val="21"/>
          <w:rFonts w:hint="eastAsia" w:ascii="仿宋_GB2312" w:eastAsia="仿宋_GB2312" w:cs="仿宋_GB2312"/>
        </w:rPr>
        <w:t>附表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"_Toc17205320" </w:instrText>
      </w:r>
      <w:r>
        <w:fldChar w:fldCharType="separate"/>
      </w:r>
      <w:r>
        <w:rPr>
          <w:rStyle w:val="21"/>
          <w:rFonts w:hint="eastAsia" w:ascii="仿宋_GB2312" w:eastAsia="仿宋_GB2312" w:cs="仿宋_GB2312"/>
        </w:rPr>
        <w:t>一、收入支出决算总表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"_Toc17205321" </w:instrText>
      </w:r>
      <w:r>
        <w:fldChar w:fldCharType="separate"/>
      </w:r>
      <w:r>
        <w:rPr>
          <w:rStyle w:val="21"/>
          <w:rFonts w:hint="eastAsia" w:ascii="仿宋_GB2312" w:eastAsia="仿宋_GB2312" w:cs="仿宋_GB2312"/>
        </w:rPr>
        <w:t>二、收入决算表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"_Toc17205322" </w:instrText>
      </w:r>
      <w:r>
        <w:fldChar w:fldCharType="separate"/>
      </w:r>
      <w:r>
        <w:rPr>
          <w:rStyle w:val="21"/>
          <w:rFonts w:hint="eastAsia" w:ascii="仿宋_GB2312" w:eastAsia="仿宋_GB2312" w:cs="仿宋_GB2312"/>
        </w:rPr>
        <w:t>三、支出决算表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"_Toc17205323" </w:instrText>
      </w:r>
      <w:r>
        <w:fldChar w:fldCharType="separate"/>
      </w:r>
      <w:r>
        <w:rPr>
          <w:rStyle w:val="21"/>
          <w:rFonts w:hint="eastAsia" w:ascii="仿宋_GB2312" w:eastAsia="仿宋_GB2312" w:cs="仿宋_GB2312"/>
        </w:rPr>
        <w:t>四、财政拨款收入支出决算总表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"_Toc17205324" </w:instrText>
      </w:r>
      <w:r>
        <w:fldChar w:fldCharType="separate"/>
      </w:r>
      <w:r>
        <w:rPr>
          <w:rStyle w:val="21"/>
          <w:rFonts w:hint="eastAsia" w:ascii="仿宋_GB2312" w:eastAsia="仿宋_GB2312" w:cs="仿宋_GB2312"/>
        </w:rPr>
        <w:t>五、财政拨款支出决算明细表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"_Toc17205325" </w:instrText>
      </w:r>
      <w:r>
        <w:fldChar w:fldCharType="separate"/>
      </w:r>
      <w:r>
        <w:rPr>
          <w:rStyle w:val="21"/>
          <w:rFonts w:hint="eastAsia" w:ascii="仿宋_GB2312" w:eastAsia="仿宋_GB2312" w:cs="仿宋_GB2312"/>
        </w:rPr>
        <w:t>六、一般公共预算财政拨款支出决算表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"_Toc17205326" </w:instrText>
      </w:r>
      <w:r>
        <w:fldChar w:fldCharType="separate"/>
      </w:r>
      <w:r>
        <w:rPr>
          <w:rStyle w:val="21"/>
          <w:rFonts w:hint="eastAsia" w:ascii="仿宋_GB2312" w:eastAsia="仿宋_GB2312" w:cs="仿宋_GB2312"/>
        </w:rPr>
        <w:t>七、一般公共预算财政拨款支出决算明细表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"_Toc17205327" </w:instrText>
      </w:r>
      <w:r>
        <w:fldChar w:fldCharType="separate"/>
      </w:r>
      <w:r>
        <w:rPr>
          <w:rStyle w:val="21"/>
          <w:rFonts w:hint="eastAsia" w:ascii="仿宋_GB2312" w:eastAsia="仿宋_GB2312" w:cs="仿宋_GB2312"/>
        </w:rPr>
        <w:t>八、一般公共预算财政拨款基本支出决算表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"_Toc17205328" </w:instrText>
      </w:r>
      <w:r>
        <w:fldChar w:fldCharType="separate"/>
      </w:r>
      <w:r>
        <w:rPr>
          <w:rStyle w:val="21"/>
          <w:rFonts w:hint="eastAsia" w:ascii="仿宋_GB2312" w:eastAsia="仿宋_GB2312" w:cs="仿宋_GB2312"/>
        </w:rPr>
        <w:t>九、一般公共预算财政拨款项目支出决算表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"_Toc17205329" </w:instrText>
      </w:r>
      <w:r>
        <w:fldChar w:fldCharType="separate"/>
      </w:r>
      <w:r>
        <w:rPr>
          <w:rStyle w:val="21"/>
          <w:rFonts w:hint="eastAsia" w:ascii="仿宋_GB2312" w:eastAsia="仿宋_GB2312" w:cs="仿宋_GB2312"/>
        </w:rPr>
        <w:t>十、一般公共预算财政拨款“三公”经费支出决算表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"_Toc17205330" </w:instrText>
      </w:r>
      <w:r>
        <w:fldChar w:fldCharType="separate"/>
      </w:r>
      <w:r>
        <w:rPr>
          <w:rStyle w:val="21"/>
          <w:rFonts w:hint="eastAsia" w:ascii="仿宋_GB2312" w:eastAsia="仿宋_GB2312" w:cs="仿宋_GB2312"/>
        </w:rPr>
        <w:t>十一、政府性基金预算财政拨款收入支出决算表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"_Toc17205331" </w:instrText>
      </w:r>
      <w:r>
        <w:fldChar w:fldCharType="separate"/>
      </w:r>
      <w:r>
        <w:rPr>
          <w:rStyle w:val="21"/>
          <w:rFonts w:hint="eastAsia" w:ascii="仿宋_GB2312" w:eastAsia="仿宋_GB2312" w:cs="仿宋_GB2312"/>
        </w:rPr>
        <w:t>十二、政府性基金预算财政拨款“三公”经费支出决算表</w:t>
      </w:r>
      <w:r>
        <w:rPr>
          <w:rStyle w:val="21"/>
          <w:rFonts w:hint="eastAsia" w:ascii="仿宋_GB2312" w:eastAsia="仿宋_GB2312" w:cs="仿宋_GB2312"/>
        </w:rPr>
        <w:fldChar w:fldCharType="end"/>
      </w:r>
    </w:p>
    <w:p>
      <w:pPr>
        <w:pStyle w:val="13"/>
        <w:ind w:left="480" w:firstLine="140" w:firstLineChars="50"/>
        <w:rPr>
          <w:rFonts w:ascii="仿宋_GB2312" w:hAnsi="Calibri" w:eastAsia="仿宋_GB2312" w:cs="Times New Roman"/>
          <w:sz w:val="21"/>
          <w:szCs w:val="21"/>
        </w:rPr>
      </w:pPr>
      <w:r>
        <w:fldChar w:fldCharType="begin"/>
      </w:r>
      <w:r>
        <w:instrText xml:space="preserve"> HYPERLINK \l "_Toc17205332" </w:instrText>
      </w:r>
      <w:r>
        <w:fldChar w:fldCharType="separate"/>
      </w:r>
      <w:r>
        <w:rPr>
          <w:rStyle w:val="21"/>
          <w:rFonts w:hint="eastAsia" w:ascii="仿宋_GB2312" w:eastAsia="仿宋_GB2312" w:cs="仿宋_GB2312"/>
        </w:rPr>
        <w:t>十三、国有资本经营预算支出决算表</w:t>
      </w:r>
      <w:r>
        <w:rPr>
          <w:rStyle w:val="21"/>
          <w:rFonts w:hint="eastAsia" w:ascii="仿宋_GB2312" w:eastAsia="仿宋_GB2312" w:cs="仿宋_GB2312"/>
        </w:rPr>
        <w:fldChar w:fldCharType="end"/>
      </w:r>
    </w:p>
    <w:p>
      <w:r>
        <w:rPr>
          <w:rFonts w:ascii="仿宋_GB2312" w:eastAsia="仿宋_GB2312" w:cs="仿宋_GB2312"/>
        </w:rPr>
        <w:fldChar w:fldCharType="end"/>
      </w:r>
      <w:bookmarkStart w:id="1" w:name="_Toc15396599"/>
      <w:bookmarkStart w:id="2" w:name="_Toc15377196"/>
    </w:p>
    <w:p>
      <w:pPr>
        <w:adjustRightInd w:val="0"/>
        <w:snapToGrid w:val="0"/>
        <w:spacing w:line="620" w:lineRule="exact"/>
        <w:rPr>
          <w:rFonts w:ascii="仿宋_GB2312" w:eastAsia="仿宋_GB2312"/>
          <w:sz w:val="32"/>
          <w:szCs w:val="32"/>
        </w:rPr>
      </w:pPr>
      <w:r>
        <w:br w:type="page"/>
      </w:r>
    </w:p>
    <w:p>
      <w:pPr>
        <w:pStyle w:val="2"/>
        <w:keepNext w:val="0"/>
        <w:keepLines w:val="0"/>
        <w:adjustRightInd w:val="0"/>
        <w:snapToGrid w:val="0"/>
        <w:spacing w:before="0" w:after="0" w:line="620" w:lineRule="exact"/>
        <w:jc w:val="center"/>
        <w:rPr>
          <w:rFonts w:ascii="黑体" w:hAnsi="黑体" w:eastAsia="黑体"/>
          <w:b w:val="0"/>
          <w:bCs w:val="0"/>
        </w:rPr>
      </w:pPr>
      <w:r>
        <w:rPr>
          <w:rFonts w:hint="eastAsia" w:ascii="黑体" w:hAnsi="黑体" w:eastAsia="黑体" w:cs="黑体"/>
          <w:b w:val="0"/>
          <w:bCs w:val="0"/>
        </w:rPr>
        <w:t>第一部分</w:t>
      </w:r>
      <w:r>
        <w:rPr>
          <w:rFonts w:ascii="黑体" w:hAnsi="黑体" w:eastAsia="黑体" w:cs="黑体"/>
          <w:b w:val="0"/>
          <w:bCs w:val="0"/>
        </w:rPr>
        <w:t xml:space="preserve"> </w:t>
      </w:r>
      <w:r>
        <w:rPr>
          <w:rStyle w:val="22"/>
          <w:rFonts w:hint="eastAsia" w:ascii="黑体" w:hAnsi="黑体" w:eastAsia="黑体" w:cs="黑体"/>
          <w:b w:val="0"/>
          <w:bCs w:val="0"/>
        </w:rPr>
        <w:t>部门概况</w:t>
      </w:r>
      <w:bookmarkEnd w:id="1"/>
      <w:bookmarkEnd w:id="2"/>
    </w:p>
    <w:p>
      <w:pPr>
        <w:pStyle w:val="3"/>
        <w:keepNext w:val="0"/>
        <w:keepLines w:val="0"/>
        <w:adjustRightInd w:val="0"/>
        <w:snapToGrid w:val="0"/>
        <w:spacing w:before="0" w:after="0" w:line="620" w:lineRule="exact"/>
        <w:rPr>
          <w:rFonts w:ascii="仿宋_GB2312" w:hAnsi="黑体" w:eastAsia="仿宋_GB2312" w:cs="Times New Roman"/>
          <w:b w:val="0"/>
          <w:bCs w:val="0"/>
          <w:color w:val="000000"/>
        </w:rPr>
      </w:pPr>
      <w:bookmarkStart w:id="3" w:name="_Toc15396600"/>
      <w:bookmarkStart w:id="4" w:name="_Toc15377197"/>
    </w:p>
    <w:bookmarkEnd w:id="3"/>
    <w:bookmarkEnd w:id="4"/>
    <w:p>
      <w:pPr>
        <w:pStyle w:val="39"/>
        <w:adjustRightInd w:val="0"/>
        <w:snapToGrid w:val="0"/>
        <w:spacing w:line="620" w:lineRule="exact"/>
        <w:ind w:firstLine="640" w:firstLineChars="200"/>
        <w:rPr>
          <w:rStyle w:val="40"/>
          <w:rFonts w:ascii="黑体" w:hAnsi="黑体" w:eastAsia="黑体"/>
        </w:rPr>
      </w:pPr>
      <w:bookmarkStart w:id="5" w:name="_Toc15378446"/>
      <w:bookmarkStart w:id="6" w:name="_Toc15377199"/>
      <w:r>
        <w:rPr>
          <w:rStyle w:val="40"/>
          <w:rFonts w:hint="eastAsia" w:ascii="黑体" w:hAnsi="黑体" w:eastAsia="黑体"/>
        </w:rPr>
        <w:t>一、基本职能及主要工作</w:t>
      </w:r>
    </w:p>
    <w:p>
      <w:pPr>
        <w:pStyle w:val="39"/>
        <w:adjustRightInd w:val="0"/>
        <w:snapToGrid w:val="0"/>
        <w:spacing w:line="620" w:lineRule="exact"/>
        <w:ind w:firstLine="643" w:firstLineChars="200"/>
        <w:rPr>
          <w:rStyle w:val="40"/>
          <w:rFonts w:ascii="楷体_GB2312" w:hAnsi="仿宋_GB2312" w:eastAsia="楷体_GB2312"/>
          <w:b/>
        </w:rPr>
      </w:pPr>
      <w:r>
        <w:rPr>
          <w:rStyle w:val="40"/>
          <w:rFonts w:hint="eastAsia" w:ascii="楷体_GB2312" w:hAnsi="仿宋_GB2312" w:eastAsia="楷体_GB2312"/>
          <w:b/>
        </w:rPr>
        <w:t>（一）遂宁市人力资源和社会保障局职能简介</w:t>
      </w:r>
    </w:p>
    <w:p>
      <w:pPr>
        <w:pStyle w:val="39"/>
        <w:adjustRightInd w:val="0"/>
        <w:snapToGrid w:val="0"/>
        <w:spacing w:line="620" w:lineRule="exact"/>
        <w:ind w:firstLine="640" w:firstLineChars="200"/>
        <w:rPr>
          <w:rFonts w:ascii="仿宋_GB2312" w:eastAsia="仿宋_GB2312"/>
        </w:rPr>
      </w:pPr>
      <w:r>
        <w:rPr>
          <w:rFonts w:hint="eastAsia" w:ascii="仿宋_GB2312" w:hAnsi="宋体" w:eastAsia="仿宋_GB2312"/>
        </w:rPr>
        <w:t>1.</w:t>
      </w:r>
      <w:r>
        <w:rPr>
          <w:rFonts w:hint="eastAsia" w:ascii="仿宋_GB2312" w:eastAsia="仿宋_GB2312"/>
        </w:rPr>
        <w:t>拟订人力资源和社会保障事业发展政策、规划并组织实施和监督检查。</w:t>
      </w:r>
    </w:p>
    <w:p>
      <w:pPr>
        <w:pStyle w:val="39"/>
        <w:adjustRightInd w:val="0"/>
        <w:snapToGrid w:val="0"/>
        <w:spacing w:line="620" w:lineRule="exact"/>
        <w:ind w:firstLine="640" w:firstLineChars="200"/>
        <w:rPr>
          <w:rFonts w:ascii="仿宋_GB2312" w:hAnsi="宋体" w:eastAsia="仿宋_GB2312"/>
        </w:rPr>
      </w:pPr>
      <w:r>
        <w:rPr>
          <w:rFonts w:hint="eastAsia" w:ascii="仿宋_GB2312" w:hAnsi="宋体" w:eastAsia="仿宋_GB2312"/>
        </w:rPr>
        <w:t>2.</w:t>
      </w:r>
      <w:r>
        <w:rPr>
          <w:rFonts w:hint="eastAsia" w:ascii="仿宋_GB2312" w:eastAsia="仿宋_GB2312"/>
        </w:rPr>
        <w:t>拟订并组织实施人力资源市场发展规划和人力资源服务业发展、人力资源流动政策，建立统一规范的人力资源市场，促进人力资源合理流动、有效配置。</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3.负责促进就业工作，拟订统筹城乡的就业发展规划和政策，完善公共就业创业服务体系，统筹建立面向城乡劳动者的职业技能培训制度，拟订并组织落实创业、就业援助制度，牵头拟订高校毕业生就业政策。</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4.统筹推进建立覆盖城乡的多层次社会保障体系。拟订并组织实施全市养老、失业、工伤等社会保险及其补充保险政策。贯彻落实养老保险统筹办法和统一的养老、失业、工伤保险关系转续办法。组织拟订养老、失业、工伤等社会保险及其补充保险基金管理和监督制度、编制相关社会保险基金预决算草案，参与拟订全市相关社会保障基金投资政策。会同有关部门实施全民参保计划并建立统一的社会保险公共服务平台。拟订人力资源和社会保障信息化建设总体规划、年度计划，拟订相关制度、标准和规范并组织实施。指导、督促企业参加工伤保险。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5.负责就业、失业和相关社会保险基金预测预警和信息引导，拟订应对预案，实施预防、调节和控制，保持就业形势稳定和相关社会保险基金总体收支平衡。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6.统筹拟订并组织实施劳动人事争议调解仲裁制度和劳动关系政策，完善劳动关系协商协调机制，拟订职工工作时间、休息休假和假期制度，拟订消除非法使用童工政策和女工、未成年工特殊劳动保护政策。依法督促用人单位在劳动用工、合同签订与履约时，载明劳动保护、劳动条件和职业危害防护条款。组织实施劳动保障监察，协调劳动者维权工作，依法查处重大案件。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7.牵头推进深化职称制度改革，拟订专业技术人员管理、继续教育等政策，完善博士后管理制度，负责高层次专业技术人才选拔和培养工作，拟订吸引留学人员来遂(回遂)工作或定居政策。组织拟订技能人才培养、评价、使用和激励制度。贯彻落实职业资格制度，健全职业技能多元化评价政策。指导、监督各级各类技工学校、民办职业培训机构按有关规定履行安全管理责任。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8.会同有关部门指导事业单位人事制度改革，按照管理权限负责规范事业单位岗位设置、公开招聘、聘用合同等人事综合管理工作，拟订事业单位工作人员和机关工勤人员管理政策，将安全生产责任履行情况作为事业单位人员奖惩、考核的重要内容。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9.组织实施国家表彰奖励制度，综合管理政府表彰奖励工作，承担评比达标表彰工作，根据授权承办以市委、市政府名义开展的表彰奖励活动。承办提请市人大常委会和市政府决定的人事任免事项。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10.会同有关部门拟订事业单位人员工资收入分配政策，建立企事业单位人员工资决定、正常增长和支付保障机制。拟订企事业单位人员福利和离退休政策。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11.会同有关部门拟订农民工工作的综合性政策和规划，推动相关政策落实，协调解决重点难点问题，维护农民工合法权益。负责将安全生产纳入农民工技能培训内容。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12.负责人力资源和社会保障领域内的对外交流与合作工作。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13.负责职责范围内的安全生产和职业健康、生态环境保护、审批服务便民化等工作。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14.完成市委、市政府交办的其他任务。　　</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15.职能转变。深入推进“放管服”改革，进一步减少行政审批事项，规范和优化对外办理事项，减少职业资格许可和认定等审批事项，实行职业资格目录清单管理，加强事中事后监管，创新就业和社会保障等公共服务方式，加强信息共享，提高公共服务水平。　　</w:t>
      </w:r>
    </w:p>
    <w:p>
      <w:pPr>
        <w:adjustRightInd w:val="0"/>
        <w:snapToGrid w:val="0"/>
        <w:spacing w:line="620" w:lineRule="exact"/>
        <w:ind w:firstLine="640"/>
        <w:rPr>
          <w:rFonts w:ascii="仿宋_GB2312"/>
          <w:sz w:val="22"/>
          <w:szCs w:val="20"/>
        </w:rPr>
      </w:pPr>
      <w:r>
        <w:rPr>
          <w:rFonts w:hint="eastAsia" w:ascii="仿宋_GB2312" w:eastAsia="仿宋_GB2312"/>
          <w:sz w:val="32"/>
          <w:szCs w:val="32"/>
        </w:rPr>
        <w:t>16.与市教育和体育局的有关职责分工。高校毕业生就业政策的拟订由市人力资源社会保障局牵头，市教育和体育局配合。高校毕业生离校前的就业指导和服务工作由市教育和体育局负责；高校毕业生离校后的就业指导和服务工作由市人力资源社会保障局负责。　</w:t>
      </w:r>
    </w:p>
    <w:p>
      <w:pPr>
        <w:pStyle w:val="6"/>
        <w:adjustRightInd w:val="0"/>
        <w:snapToGrid w:val="0"/>
        <w:spacing w:before="93" w:line="620" w:lineRule="exact"/>
        <w:ind w:firstLine="675" w:firstLineChars="210"/>
        <w:outlineLvl w:val="2"/>
        <w:rPr>
          <w:rFonts w:ascii="楷体_GB2312" w:hAnsi="仿宋" w:eastAsia="楷体_GB2312"/>
          <w:b/>
          <w:bCs/>
          <w:color w:val="000000"/>
          <w:sz w:val="32"/>
          <w:szCs w:val="32"/>
        </w:rPr>
      </w:pPr>
      <w:r>
        <w:rPr>
          <w:rFonts w:hint="eastAsia" w:ascii="楷体_GB2312" w:hAnsi="仿宋" w:eastAsia="楷体_GB2312" w:cs="楷体_GB2312"/>
          <w:b/>
          <w:bCs/>
          <w:color w:val="000000"/>
          <w:sz w:val="32"/>
          <w:szCs w:val="32"/>
        </w:rPr>
        <w:t>（二）2019年重点工作完成情况。</w:t>
      </w:r>
      <w:bookmarkEnd w:id="5"/>
      <w:bookmarkEnd w:id="6"/>
    </w:p>
    <w:p>
      <w:pPr>
        <w:spacing w:line="620" w:lineRule="exact"/>
        <w:ind w:firstLine="640" w:firstLineChars="200"/>
        <w:rPr>
          <w:rFonts w:ascii="仿宋_GB2312" w:hAnsi="仿宋_GB2312" w:eastAsia="仿宋_GB2312"/>
          <w:sz w:val="32"/>
          <w:szCs w:val="32"/>
        </w:rPr>
      </w:pPr>
      <w:bookmarkStart w:id="7" w:name="_Toc15396601"/>
      <w:bookmarkStart w:id="8" w:name="_Toc15377200"/>
      <w:r>
        <w:rPr>
          <w:rFonts w:hint="eastAsia" w:ascii="黑体" w:hAnsi="黑体" w:eastAsia="黑体" w:cs="黑体"/>
          <w:sz w:val="32"/>
          <w:szCs w:val="32"/>
        </w:rPr>
        <w:t>1、实施就业促进行动，全市就业形势更加稳定。</w:t>
      </w:r>
      <w:r>
        <w:rPr>
          <w:rFonts w:hint="eastAsia" w:ascii="仿宋_GB2312" w:hAnsi="楷体_GB2312" w:eastAsia="仿宋_GB2312" w:cs="楷体_GB2312"/>
          <w:b/>
          <w:bCs/>
          <w:sz w:val="32"/>
          <w:szCs w:val="32"/>
        </w:rPr>
        <w:t>一是抓政策支撑稳就业。</w:t>
      </w:r>
      <w:r>
        <w:rPr>
          <w:rFonts w:hint="eastAsia" w:ascii="仿宋_GB2312" w:hAnsi="仿宋_GB2312" w:eastAsia="仿宋_GB2312"/>
          <w:sz w:val="32"/>
          <w:szCs w:val="32"/>
        </w:rPr>
        <w:t>实施就业优先战略，出台“稳就业15条”等积极就业创业政策十余个，进一步优化就业创业政策环境，促进全年城镇新增就业41573人。</w:t>
      </w:r>
      <w:r>
        <w:rPr>
          <w:rFonts w:hint="eastAsia" w:ascii="仿宋_GB2312" w:hAnsi="楷体_GB2312" w:eastAsia="仿宋_GB2312" w:cs="楷体_GB2312"/>
          <w:b/>
          <w:bCs/>
          <w:sz w:val="32"/>
          <w:szCs w:val="32"/>
        </w:rPr>
        <w:t>二是抓形势研判稳就业。</w:t>
      </w:r>
      <w:r>
        <w:rPr>
          <w:rFonts w:hint="eastAsia" w:ascii="仿宋_GB2312" w:hAnsi="仿宋_GB2312" w:eastAsia="仿宋_GB2312"/>
          <w:sz w:val="32"/>
          <w:szCs w:val="32"/>
        </w:rPr>
        <w:t>将全市100余家重点企业2.8万余个岗位纳入动态监测范围，发布就业形势分析报告20期，积极预防规模性失业风险，全市城镇登记失业率控制在3.62%以内。</w:t>
      </w:r>
      <w:r>
        <w:rPr>
          <w:rFonts w:hint="eastAsia" w:ascii="仿宋_GB2312" w:hAnsi="楷体_GB2312" w:eastAsia="仿宋_GB2312" w:cs="楷体_GB2312"/>
          <w:b/>
          <w:bCs/>
          <w:sz w:val="32"/>
          <w:szCs w:val="32"/>
        </w:rPr>
        <w:t>三是抓重点群体帮扶稳就业。</w:t>
      </w:r>
      <w:r>
        <w:rPr>
          <w:rFonts w:hint="eastAsia" w:ascii="仿宋_GB2312" w:hAnsi="仿宋_GB2312" w:eastAsia="仿宋_GB2312"/>
          <w:sz w:val="32"/>
          <w:szCs w:val="32"/>
        </w:rPr>
        <w:t>创新实施就业困难人员服务专员制度，新认定就业援助对象3462人，帮扶城镇就业困难人员实现就业5477人。开展大学生“九个一”就业创业服务活动，建设大学生实习实训基地接纳1000名大学生来遂实训，促进2019届离校未就业高校毕业生实现就业3809人，就业率达98.9%。</w:t>
      </w:r>
      <w:r>
        <w:rPr>
          <w:rFonts w:hint="eastAsia" w:ascii="仿宋_GB2312" w:hAnsi="楷体_GB2312" w:eastAsia="仿宋_GB2312" w:cs="楷体_GB2312"/>
          <w:b/>
          <w:bCs/>
          <w:sz w:val="32"/>
          <w:szCs w:val="32"/>
        </w:rPr>
        <w:t>四是抓创业扶持促就业。</w:t>
      </w:r>
      <w:r>
        <w:rPr>
          <w:rFonts w:hint="eastAsia" w:ascii="仿宋_GB2312" w:hAnsi="仿宋_GB2312" w:eastAsia="仿宋_GB2312"/>
          <w:sz w:val="32"/>
          <w:szCs w:val="32"/>
        </w:rPr>
        <w:t>承办全省第二届“天府杯”创业大赛退役军人创业组决赛，举办第四届“遂州杯”创业大赛、第二届创业培训讲师大赛。开展形式多样的创业培训2935人。发放创业担保贷款10274.2万元，创业补贴338.6万元，有力促进了创业带动就业。我市遂宁摩天时代创业项目获得四川省第二届“天府杯”创业大赛三等奖，遂宁市政府获得特殊贡献奖。</w:t>
      </w:r>
      <w:r>
        <w:rPr>
          <w:rFonts w:hint="eastAsia" w:ascii="仿宋_GB2312" w:hAnsi="楷体_GB2312" w:eastAsia="仿宋_GB2312" w:cs="楷体_GB2312"/>
          <w:b/>
          <w:bCs/>
          <w:sz w:val="32"/>
          <w:szCs w:val="32"/>
        </w:rPr>
        <w:t>五是抓公共服务稳就业。</w:t>
      </w:r>
      <w:r>
        <w:rPr>
          <w:rFonts w:hint="eastAsia" w:ascii="仿宋_GB2312" w:hAnsi="仿宋_GB2312" w:eastAsia="仿宋_GB2312"/>
          <w:sz w:val="32"/>
          <w:szCs w:val="32"/>
        </w:rPr>
        <w:t>开展“春风行动”“就业援助月”等各类就业招聘200余场，累计提供各类岗位信息11万条，为用人单位招募各类人才7.2万余人；通过各网络平台发布岗位信息11.2万余条，日均访问量突破5000人次。</w:t>
      </w:r>
      <w:r>
        <w:rPr>
          <w:rFonts w:hint="eastAsia" w:ascii="仿宋_GB2312" w:hAnsi="楷体_GB2312" w:eastAsia="仿宋_GB2312" w:cs="楷体_GB2312"/>
          <w:b/>
          <w:bCs/>
          <w:sz w:val="32"/>
          <w:szCs w:val="32"/>
        </w:rPr>
        <w:t>六是抓援企稳岗稳就业。</w:t>
      </w:r>
      <w:r>
        <w:rPr>
          <w:rFonts w:hint="eastAsia" w:ascii="仿宋_GB2312" w:hAnsi="仿宋_GB2312" w:eastAsia="仿宋_GB2312"/>
          <w:sz w:val="32"/>
          <w:szCs w:val="32"/>
        </w:rPr>
        <w:t>创新实施企业用工服务专员制度，聘任用工服务专员126名，对300余家企业提供人力资源保障服务700余次。实施失业保险援企稳岗“护航行动”，为303户企业返还失保费1033.17万元，为阶段性困难企业返还社保费1869.03万元。</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2、实施农民工工作提升行动，农民工服务保障更加有力。</w:t>
      </w:r>
      <w:r>
        <w:rPr>
          <w:rFonts w:hint="eastAsia" w:ascii="仿宋_GB2312" w:hAnsi="楷体_GB2312" w:eastAsia="仿宋_GB2312" w:cs="楷体_GB2312"/>
          <w:b/>
          <w:bCs/>
          <w:sz w:val="32"/>
          <w:szCs w:val="32"/>
        </w:rPr>
        <w:t>一是机构设置有“力度”。</w:t>
      </w:r>
      <w:r>
        <w:rPr>
          <w:rFonts w:hint="eastAsia" w:ascii="仿宋_GB2312" w:hAnsi="仿宋_GB2312" w:eastAsia="仿宋_GB2312"/>
          <w:sz w:val="32"/>
          <w:szCs w:val="32"/>
        </w:rPr>
        <w:t>在全省率先设立首个正县级农民工服务中心，设立县（市、区）正科级农民工服务中心5个，在撤并建后的所有乡镇设立农民工服务中心75个。</w:t>
      </w:r>
      <w:r>
        <w:rPr>
          <w:rFonts w:hint="eastAsia" w:ascii="仿宋_GB2312" w:hAnsi="楷体_GB2312" w:eastAsia="仿宋_GB2312" w:cs="楷体_GB2312"/>
          <w:b/>
          <w:bCs/>
          <w:sz w:val="32"/>
          <w:szCs w:val="32"/>
        </w:rPr>
        <w:t>二是就业创业有“热度”。</w:t>
      </w:r>
      <w:r>
        <w:rPr>
          <w:rFonts w:hint="eastAsia" w:ascii="仿宋_GB2312" w:hAnsi="仿宋_GB2312" w:eastAsia="仿宋_GB2312"/>
          <w:sz w:val="32"/>
          <w:szCs w:val="32"/>
        </w:rPr>
        <w:t>坚持内联外拓，不断搭建就业创业服务平台。全年劳动力转移输出就业127.36万人，实现劳务收入185.66亿元。落实“促进返乡下乡创业二十二条”，回引农民工返乡创业</w:t>
      </w:r>
      <w:r>
        <w:rPr>
          <w:rFonts w:hint="eastAsia"/>
          <w:sz w:val="32"/>
          <w:szCs w:val="32"/>
        </w:rPr>
        <w:t> </w:t>
      </w:r>
      <w:r>
        <w:rPr>
          <w:rFonts w:hint="eastAsia" w:ascii="仿宋_GB2312" w:hAnsi="仿宋_GB2312" w:eastAsia="仿宋_GB2312" w:cs="仿宋_GB2312"/>
          <w:sz w:val="32"/>
          <w:szCs w:val="32"/>
        </w:rPr>
        <w:t>3300</w:t>
      </w:r>
      <w:r>
        <w:rPr>
          <w:rFonts w:hint="eastAsia" w:ascii="仿宋_GB2312" w:hAnsi="仿宋_GB2312" w:eastAsia="仿宋_GB2312"/>
          <w:sz w:val="32"/>
          <w:szCs w:val="32"/>
        </w:rPr>
        <w:t>余人，开展完成劳务品牌培训2650人，返乡创业培训1000人。</w:t>
      </w:r>
      <w:r>
        <w:rPr>
          <w:rFonts w:hint="eastAsia" w:ascii="仿宋_GB2312" w:hAnsi="楷体_GB2312" w:eastAsia="仿宋_GB2312" w:cs="楷体_GB2312"/>
          <w:b/>
          <w:bCs/>
          <w:sz w:val="32"/>
          <w:szCs w:val="32"/>
        </w:rPr>
        <w:t>三是党建引领有“高度”。</w:t>
      </w:r>
      <w:r>
        <w:rPr>
          <w:rFonts w:hint="eastAsia" w:ascii="仿宋_GB2312" w:hAnsi="仿宋_GB2312" w:eastAsia="仿宋_GB2312"/>
          <w:sz w:val="32"/>
          <w:szCs w:val="32"/>
        </w:rPr>
        <w:t>发展农民工党员485名。将1176名优秀年轻农民工定向培养为村级后备力量。面向农民工选拔职业村支书232名。</w:t>
      </w:r>
      <w:r>
        <w:rPr>
          <w:rFonts w:hint="eastAsia" w:ascii="仿宋_GB2312" w:hAnsi="楷体_GB2312" w:eastAsia="仿宋_GB2312" w:cs="楷体_GB2312"/>
          <w:b/>
          <w:bCs/>
          <w:sz w:val="32"/>
          <w:szCs w:val="32"/>
        </w:rPr>
        <w:t>四是权益保护有“准度”。</w:t>
      </w:r>
      <w:r>
        <w:rPr>
          <w:rFonts w:hint="eastAsia" w:ascii="仿宋_GB2312" w:hAnsi="仿宋_GB2312" w:eastAsia="仿宋_GB2312"/>
          <w:sz w:val="32"/>
          <w:szCs w:val="32"/>
        </w:rPr>
        <w:t>强化农民工工资拖欠治理，2019年春节期间集中兑付3000余名农民工工资近5000余万元；开展根治欠薪夏季行动、根治欠薪冬季攻坚行动和陈积案件化解行动，兑付农民工工资3590余万元。创新建立11名律师团长效开展法律援助进工地活动，免费法律援助覆盖率达80.8%。</w:t>
      </w:r>
      <w:r>
        <w:rPr>
          <w:rFonts w:hint="eastAsia" w:ascii="仿宋_GB2312" w:hAnsi="楷体_GB2312" w:eastAsia="仿宋_GB2312" w:cs="楷体_GB2312"/>
          <w:b/>
          <w:bCs/>
          <w:sz w:val="32"/>
          <w:szCs w:val="32"/>
        </w:rPr>
        <w:t>五是关爱保障有“温度”。</w:t>
      </w:r>
      <w:r>
        <w:rPr>
          <w:rFonts w:hint="eastAsia" w:ascii="仿宋_GB2312" w:hAnsi="仿宋_GB2312" w:eastAsia="仿宋_GB2312"/>
          <w:sz w:val="32"/>
          <w:szCs w:val="32"/>
        </w:rPr>
        <w:t>市内建立农民工综合服务站点120个；市外建立农民工服务管理综合党委26个、农民工在外联络站20个。各级党委政府慰问农民工133万余人次发放慰问金1482万余元。集中为农民工办理各类证照9.4万余个。设立农民工咨询服务点和购票专柜15个，为30余万农民工提供便捷温馨服务。</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3、实施人才聚能行动，人才队伍规模更加壮大。</w:t>
      </w:r>
      <w:r>
        <w:rPr>
          <w:rFonts w:hint="eastAsia" w:ascii="仿宋_GB2312" w:hAnsi="楷体_GB2312" w:eastAsia="仿宋_GB2312" w:cs="楷体_GB2312"/>
          <w:b/>
          <w:bCs/>
          <w:sz w:val="32"/>
          <w:szCs w:val="32"/>
        </w:rPr>
        <w:t>一是培育技术技能人才。</w:t>
      </w:r>
      <w:r>
        <w:rPr>
          <w:rFonts w:hint="eastAsia" w:ascii="仿宋_GB2312" w:hAnsi="仿宋_GB2312" w:eastAsia="仿宋_GB2312"/>
          <w:sz w:val="32"/>
          <w:szCs w:val="32"/>
        </w:rPr>
        <w:t>出台《遂宁市职业技能提升行动推进方案》（2019—2021年）。完成就业技能培训、岗位提升培训、创业培训、职业能力鉴定培训等各类培训24060人次。实施技能提升补贴“展翅行动”，为338名企业职工发放技能提升补贴52.7万元。成功举办第三届“遂州技能人才大赛”和首届“遂州技术能手评选”活动。新创建8家市级技能大师工作室、1家省级高技能人才培训基地和1家国家级技能大师工作室。</w:t>
      </w:r>
      <w:r>
        <w:rPr>
          <w:rFonts w:hint="eastAsia" w:ascii="仿宋_GB2312" w:hAnsi="楷体_GB2312" w:eastAsia="仿宋_GB2312" w:cs="楷体_GB2312"/>
          <w:b/>
          <w:bCs/>
          <w:sz w:val="32"/>
          <w:szCs w:val="32"/>
        </w:rPr>
        <w:t>二是激发事业人才活力。</w:t>
      </w:r>
      <w:r>
        <w:rPr>
          <w:rFonts w:hint="eastAsia" w:ascii="仿宋_GB2312" w:hAnsi="仿宋_GB2312" w:eastAsia="仿宋_GB2312"/>
          <w:sz w:val="32"/>
          <w:szCs w:val="32"/>
        </w:rPr>
        <w:t>完善事业人员招聘、管理和奖励工作机制。完成2019年事业人员招聘考试7903人，录用389人。全年通过开展“遂州英才”招揽行动等引才活动，引进硕士及以上学历高层次人才494名，本科及以上人员3955名。完成事业单位岗位重设386个，办理市属事业单位竞聘上岗手续1108人次。</w:t>
      </w:r>
      <w:r>
        <w:rPr>
          <w:rFonts w:hint="eastAsia" w:ascii="仿宋_GB2312" w:hAnsi="楷体_GB2312" w:eastAsia="仿宋_GB2312" w:cs="楷体_GB2312"/>
          <w:b/>
          <w:bCs/>
          <w:sz w:val="32"/>
          <w:szCs w:val="32"/>
        </w:rPr>
        <w:t>三是壮大高层次人才队伍。</w:t>
      </w:r>
      <w:r>
        <w:rPr>
          <w:rFonts w:hint="eastAsia" w:ascii="仿宋_GB2312" w:hAnsi="仿宋_GB2312" w:eastAsia="仿宋_GB2312"/>
          <w:sz w:val="32"/>
          <w:szCs w:val="32"/>
        </w:rPr>
        <w:t>出台《关于分类推进人才评价机制改革的实施意见》。组织各类专业技术考试42项54015人次，实现“零事故”工作目标。组织专业技术人员网上公需科目考试通过36398人。深化职称制度改革出台《学术技术带头人评定管理办法》，评定专业技术人才职称1498名。推荐选拔“百千万工程国家级人选”4人。为高层次人才30人发放安家补助和生活补贴35.57万元，发放柔性引才补贴184人次18.4万元。</w:t>
      </w:r>
      <w:r>
        <w:rPr>
          <w:rFonts w:hint="eastAsia" w:ascii="仿宋_GB2312" w:hAnsi="楷体_GB2312" w:eastAsia="仿宋_GB2312" w:cs="楷体_GB2312"/>
          <w:b/>
          <w:bCs/>
          <w:sz w:val="32"/>
          <w:szCs w:val="32"/>
        </w:rPr>
        <w:t>四是搭建人才服务平台。</w:t>
      </w:r>
      <w:r>
        <w:rPr>
          <w:rFonts w:hint="eastAsia" w:ascii="仿宋_GB2312" w:hAnsi="仿宋_GB2312" w:eastAsia="仿宋_GB2312"/>
          <w:sz w:val="32"/>
          <w:szCs w:val="32"/>
        </w:rPr>
        <w:t>开展遂宁市专家服务团智力服务高新区专场活动、四川省专家服务团服务“5+1”现代产业体系暨高级专家回头帮走进遂宁活动。支持我市5家企业申报博士后创新实践基地。新建市级专家服务基地4家。</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4、实施社会保障行动，社会保障体系更加完善。</w:t>
      </w:r>
      <w:r>
        <w:rPr>
          <w:rFonts w:hint="eastAsia" w:ascii="仿宋_GB2312" w:hAnsi="楷体_GB2312" w:eastAsia="仿宋_GB2312" w:cs="楷体_GB2312"/>
          <w:b/>
          <w:bCs/>
          <w:sz w:val="32"/>
          <w:szCs w:val="32"/>
        </w:rPr>
        <w:t>一是实施全民参保计划。</w:t>
      </w:r>
      <w:r>
        <w:rPr>
          <w:rFonts w:hint="eastAsia" w:ascii="仿宋_GB2312" w:hAnsi="仿宋_GB2312" w:eastAsia="仿宋_GB2312"/>
          <w:sz w:val="32"/>
          <w:szCs w:val="32"/>
        </w:rPr>
        <w:t>完成103.89万未参保人员原因核查任务，大力开展精准扩面工作。截至12月末，全市城镇职工基本养老保险、机关事业单位养老保险、城乡居民基本养老保险、工伤保险参保人数分别为76.83万人、8.67万人、119.50万人、19.86万人；各类社保基金合计征收54.4亿元，运行平稳、保障有力。</w:t>
      </w:r>
      <w:r>
        <w:rPr>
          <w:rFonts w:hint="eastAsia" w:ascii="仿宋_GB2312" w:hAnsi="楷体_GB2312" w:eastAsia="仿宋_GB2312" w:cs="楷体_GB2312"/>
          <w:b/>
          <w:bCs/>
          <w:sz w:val="32"/>
          <w:szCs w:val="32"/>
        </w:rPr>
        <w:t>二是完善社会保障政策。</w:t>
      </w:r>
      <w:r>
        <w:rPr>
          <w:rFonts w:hint="eastAsia" w:ascii="仿宋_GB2312" w:hAnsi="仿宋_GB2312" w:eastAsia="仿宋_GB2312"/>
          <w:sz w:val="32"/>
          <w:szCs w:val="32"/>
        </w:rPr>
        <w:t>将职工基本养老保险企业缴费费率从19%降低至16%，继续执行失业保险缴费费率1%的政策，将工伤保险基准费率下调40%执行。为56.1万名城乡居保待遇领取人员提高待遇，拨付资金51721.07万元。</w:t>
      </w:r>
      <w:r>
        <w:rPr>
          <w:rFonts w:hint="eastAsia" w:ascii="仿宋_GB2312" w:hAnsi="楷体_GB2312" w:eastAsia="仿宋_GB2312" w:cs="楷体_GB2312"/>
          <w:b/>
          <w:bCs/>
          <w:sz w:val="32"/>
          <w:szCs w:val="32"/>
        </w:rPr>
        <w:t>三是推进社保惠企惠民。</w:t>
      </w:r>
      <w:r>
        <w:rPr>
          <w:rFonts w:hint="eastAsia" w:ascii="仿宋_GB2312" w:hAnsi="仿宋_GB2312" w:eastAsia="仿宋_GB2312"/>
          <w:sz w:val="32"/>
          <w:szCs w:val="32"/>
        </w:rPr>
        <w:t>调整养老保险缴费基数降低企业用工社保成本。做好成南达万（遂宁段）高铁建设项目等被征地农民社保安置工作。积极探索开展工伤预防试点工作。建立社保卡“一卡通”平台，为332.84万人次发放惠民惠农补贴资金9.91亿元。</w:t>
      </w:r>
      <w:r>
        <w:rPr>
          <w:rFonts w:hint="eastAsia" w:ascii="仿宋_GB2312" w:hAnsi="楷体_GB2312" w:eastAsia="仿宋_GB2312" w:cs="楷体_GB2312"/>
          <w:b/>
          <w:bCs/>
          <w:sz w:val="32"/>
          <w:szCs w:val="32"/>
        </w:rPr>
        <w:t>四是强化社保基金监管。</w:t>
      </w:r>
      <w:r>
        <w:rPr>
          <w:rFonts w:hint="eastAsia" w:ascii="仿宋_GB2312" w:hAnsi="仿宋_GB2312" w:eastAsia="仿宋_GB2312"/>
          <w:sz w:val="32"/>
          <w:szCs w:val="32"/>
        </w:rPr>
        <w:t>着力构建行政、经办、信息、监督四位一体的基金管理风险防控体系。开展社保基金管理风险防控专项整治行动排查7大方面50个具体项目。追缴死亡冒领养老保险基金932.27万元。</w:t>
      </w:r>
      <w:r>
        <w:rPr>
          <w:rFonts w:hint="eastAsia" w:ascii="仿宋_GB2312" w:hAnsi="楷体_GB2312" w:eastAsia="仿宋_GB2312" w:cs="楷体_GB2312"/>
          <w:b/>
          <w:bCs/>
          <w:sz w:val="32"/>
          <w:szCs w:val="32"/>
        </w:rPr>
        <w:t>五是提升社保经办水平。</w:t>
      </w:r>
      <w:r>
        <w:rPr>
          <w:rFonts w:hint="eastAsia" w:ascii="仿宋_GB2312" w:hAnsi="仿宋_GB2312" w:eastAsia="仿宋_GB2312"/>
          <w:sz w:val="32"/>
          <w:szCs w:val="32"/>
        </w:rPr>
        <w:t>全面实行社保综合柜员制经办服务，为参保群众就近办理社保业务88301笔，就近办理缴费业务85995笔，征收保费7.05亿元，线上自助查询权益信息851.53万人次。</w:t>
      </w:r>
    </w:p>
    <w:p>
      <w:pPr>
        <w:spacing w:line="620" w:lineRule="exact"/>
        <w:ind w:firstLine="640" w:firstLineChars="200"/>
        <w:rPr>
          <w:rFonts w:ascii="仿宋_GB2312" w:hAnsi="Calibri" w:eastAsia="仿宋_GB2312"/>
          <w:sz w:val="32"/>
          <w:szCs w:val="32"/>
        </w:rPr>
      </w:pPr>
      <w:r>
        <w:rPr>
          <w:rFonts w:hint="eastAsia" w:ascii="黑体" w:hAnsi="黑体" w:eastAsia="黑体" w:cs="黑体"/>
          <w:sz w:val="32"/>
          <w:szCs w:val="32"/>
        </w:rPr>
        <w:t>5、实施权益维护行动，全市劳动关系更加和谐。</w:t>
      </w:r>
      <w:r>
        <w:rPr>
          <w:rFonts w:hint="eastAsia" w:ascii="仿宋_GB2312" w:hAnsi="楷体_GB2312" w:eastAsia="仿宋_GB2312" w:cs="楷体_GB2312"/>
          <w:b/>
          <w:bCs/>
          <w:sz w:val="32"/>
          <w:szCs w:val="32"/>
        </w:rPr>
        <w:t>一是优化收入分配格局。</w:t>
      </w:r>
      <w:r>
        <w:rPr>
          <w:rFonts w:hint="eastAsia" w:ascii="仿宋_GB2312" w:hAnsi="仿宋_GB2312" w:eastAsia="仿宋_GB2312"/>
          <w:sz w:val="32"/>
          <w:szCs w:val="32"/>
        </w:rPr>
        <w:t>对我市18类行业共167户样本企业全面开展薪酬收入调查工作。进一步完善国有企业负责人薪酬制度，指导企业建立职工工资正常增长机制。我市2019年城镇居民人均可支配收入为34854元，同比增长9.5%，在全省名列第2位。</w:t>
      </w:r>
      <w:r>
        <w:rPr>
          <w:rFonts w:hint="eastAsia" w:ascii="仿宋_GB2312" w:hAnsi="楷体_GB2312" w:eastAsia="仿宋_GB2312" w:cs="楷体_GB2312"/>
          <w:b/>
          <w:bCs/>
          <w:sz w:val="32"/>
          <w:szCs w:val="32"/>
        </w:rPr>
        <w:t>二是开展治欠保支行动。</w:t>
      </w:r>
      <w:r>
        <w:rPr>
          <w:rFonts w:hint="eastAsia" w:ascii="仿宋_GB2312" w:hAnsi="仿宋_GB2312" w:eastAsia="仿宋_GB2312"/>
          <w:sz w:val="32"/>
          <w:szCs w:val="32"/>
        </w:rPr>
        <w:t>完善治欠保支工作制度机制，召开现场工作推进会，</w:t>
      </w:r>
      <w:r>
        <w:rPr>
          <w:rFonts w:hint="eastAsia" w:ascii="仿宋_GB2312" w:eastAsia="仿宋_GB2312"/>
          <w:sz w:val="32"/>
          <w:szCs w:val="32"/>
        </w:rPr>
        <w:t>对各县（市、区）、建设主管部门、重点工程项目开展3次集中实地</w:t>
      </w:r>
      <w:r>
        <w:rPr>
          <w:rFonts w:hint="eastAsia" w:ascii="仿宋_GB2312" w:hAnsi="仿宋_GB2312" w:eastAsia="仿宋_GB2312"/>
          <w:sz w:val="32"/>
          <w:szCs w:val="32"/>
        </w:rPr>
        <w:t>专项执法检查，确保治欠保支核心指标全面完成。截至12月底，全市劳动合同签订率97.8%，全市在建工程项目总包直发率96%、建立农民工工资专用账户率99.1%、按月足额实名实人发放工资率99.2%、政府投资工程项目100%无欠薪。</w:t>
      </w:r>
      <w:r>
        <w:rPr>
          <w:rFonts w:hint="eastAsia" w:ascii="仿宋_GB2312" w:hAnsi="楷体_GB2312" w:eastAsia="仿宋_GB2312" w:cs="楷体_GB2312"/>
          <w:b/>
          <w:bCs/>
          <w:sz w:val="32"/>
          <w:szCs w:val="32"/>
        </w:rPr>
        <w:t>三是构建和谐劳动关系。</w:t>
      </w:r>
      <w:r>
        <w:rPr>
          <w:rFonts w:hint="eastAsia" w:ascii="仿宋_GB2312" w:hAnsi="仿宋_GB2312" w:eastAsia="仿宋_GB2312"/>
          <w:sz w:val="32"/>
          <w:szCs w:val="32"/>
        </w:rPr>
        <w:t>推进企业诚信建设完成第八批“守信红名单”企业考核。大力构建多元矛盾化解体系，全年成功</w:t>
      </w:r>
      <w:r>
        <w:rPr>
          <w:rFonts w:hint="eastAsia" w:ascii="仿宋_GB2312" w:eastAsia="仿宋_GB2312"/>
          <w:sz w:val="32"/>
          <w:szCs w:val="32"/>
        </w:rPr>
        <w:t>调</w:t>
      </w:r>
      <w:r>
        <w:rPr>
          <w:rFonts w:hint="eastAsia" w:ascii="仿宋_GB2312" w:hAnsi="仿宋_GB2312" w:eastAsia="仿宋_GB2312"/>
          <w:sz w:val="32"/>
          <w:szCs w:val="32"/>
        </w:rPr>
        <w:t>解劳动争议案件475件，仲裁劳动人事争议案件484件，涉及1192人1894.17万元，当期结案率为99.79%。</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6、实施满意人社行动，人社服务体系更加完善。</w:t>
      </w:r>
      <w:r>
        <w:rPr>
          <w:rFonts w:hint="eastAsia" w:ascii="仿宋_GB2312" w:hAnsi="楷体_GB2312" w:eastAsia="仿宋_GB2312" w:cs="楷体_GB2312"/>
          <w:b/>
          <w:bCs/>
          <w:sz w:val="32"/>
          <w:szCs w:val="32"/>
        </w:rPr>
        <w:t>一是推进服务平台标准化。</w:t>
      </w:r>
      <w:r>
        <w:rPr>
          <w:rFonts w:hint="eastAsia" w:ascii="仿宋_GB2312" w:hAnsi="仿宋_GB2312" w:eastAsia="仿宋_GB2312"/>
          <w:sz w:val="32"/>
          <w:szCs w:val="32"/>
        </w:rPr>
        <w:t>按照《遂宁市基层人力资源和社会保障公共服务平台标准化建设规划（2018-2020年）》，大力构建人社经办业务“城市10分钟+农村30分钟”办事圈。全市共建成基层人社服务平台1043个；建成8个县（市、区）级综合服务分中心。</w:t>
      </w:r>
      <w:r>
        <w:rPr>
          <w:rFonts w:hint="eastAsia" w:ascii="仿宋_GB2312" w:hAnsi="楷体_GB2312" w:eastAsia="仿宋_GB2312" w:cs="楷体_GB2312"/>
          <w:b/>
          <w:bCs/>
          <w:sz w:val="32"/>
          <w:szCs w:val="32"/>
        </w:rPr>
        <w:t>二是推进服务基础信息化。</w:t>
      </w:r>
      <w:r>
        <w:rPr>
          <w:rFonts w:hint="eastAsia" w:ascii="仿宋_GB2312" w:hAnsi="仿宋_GB2312" w:eastAsia="仿宋_GB2312"/>
          <w:sz w:val="32"/>
          <w:szCs w:val="32"/>
        </w:rPr>
        <w:t>实现省、市、县、乡四级金保网络贯通并向社区延伸，全市建成社银一体化网点216个，配置自助终端557台。12333电话咨询服务热线受理各类咨询18.8万件次。</w:t>
      </w:r>
      <w:r>
        <w:rPr>
          <w:rFonts w:hint="eastAsia" w:ascii="仿宋_GB2312" w:hAnsi="仿宋" w:eastAsia="仿宋_GB2312"/>
          <w:sz w:val="32"/>
          <w:szCs w:val="32"/>
        </w:rPr>
        <w:t>开发上线微信公众号实现社保自助缴费、权益查询、生存认证等“掌上办理”。</w:t>
      </w:r>
      <w:r>
        <w:rPr>
          <w:rFonts w:hint="eastAsia" w:ascii="仿宋_GB2312" w:hAnsi="楷体_GB2312" w:eastAsia="仿宋_GB2312" w:cs="楷体_GB2312"/>
          <w:b/>
          <w:bCs/>
          <w:sz w:val="32"/>
          <w:szCs w:val="32"/>
        </w:rPr>
        <w:t>三是推进服务机制协同化。</w:t>
      </w:r>
      <w:r>
        <w:rPr>
          <w:rFonts w:hint="eastAsia" w:ascii="仿宋_GB2312" w:hAnsi="仿宋_GB2312" w:eastAsia="仿宋_GB2312"/>
          <w:sz w:val="32"/>
          <w:szCs w:val="32"/>
        </w:rPr>
        <w:t>深化“放管服”改革，全面梳理机构改革后我局行政权</w:t>
      </w:r>
      <w:r>
        <w:rPr>
          <w:rFonts w:hint="eastAsia" w:ascii="仿宋_GB2312" w:hAnsi="仿宋_GB2312" w:eastAsia="仿宋_GB2312"/>
          <w:sz w:val="32"/>
          <w:szCs w:val="32"/>
          <w:lang w:eastAsia="zh-CN"/>
        </w:rPr>
        <w:t>力</w:t>
      </w:r>
      <w:r>
        <w:rPr>
          <w:rFonts w:hint="eastAsia" w:ascii="仿宋_GB2312" w:hAnsi="仿宋_GB2312" w:eastAsia="仿宋_GB2312"/>
          <w:sz w:val="32"/>
          <w:szCs w:val="32"/>
        </w:rPr>
        <w:t>事项66项；公共服务事项139项，实现全程网办132项，全程网办率达94.96%，并通过信息化手段下延业务45项。</w:t>
      </w:r>
      <w:r>
        <w:rPr>
          <w:rFonts w:hint="eastAsia" w:ascii="仿宋_GB2312" w:hAnsi="楷体_GB2312" w:eastAsia="仿宋_GB2312" w:cs="楷体_GB2312"/>
          <w:b/>
          <w:bCs/>
          <w:sz w:val="32"/>
          <w:szCs w:val="32"/>
        </w:rPr>
        <w:t>四是推进服务行为专业化。</w:t>
      </w:r>
      <w:r>
        <w:rPr>
          <w:rFonts w:hint="eastAsia" w:ascii="仿宋_GB2312" w:eastAsia="仿宋_GB2312"/>
          <w:sz w:val="32"/>
          <w:szCs w:val="32"/>
        </w:rPr>
        <w:t>实施“服务能力提升计划”，积极开展预约服务、延时服务、上门服务、应急服务、“菜单式”服务等便民新模式。全市市、县、乡、社区四级联动开展8个单项业务板块比武练兵活动，我局荣获全省综合比武三等奖。我局系统政风行风群众满意度测评升至全省第7位，市人力资源市场被评为全国优质服务窗口。</w:t>
      </w:r>
    </w:p>
    <w:p>
      <w:pPr>
        <w:spacing w:line="620" w:lineRule="exact"/>
        <w:ind w:firstLine="640" w:firstLineChars="200"/>
        <w:rPr>
          <w:rFonts w:ascii="仿宋_GB2312" w:hAnsi="黑体" w:eastAsia="仿宋_GB2312" w:cs="黑体"/>
          <w:sz w:val="32"/>
          <w:szCs w:val="32"/>
        </w:rPr>
      </w:pPr>
      <w:r>
        <w:rPr>
          <w:rFonts w:hint="eastAsia" w:ascii="黑体" w:hAnsi="黑体" w:eastAsia="黑体" w:cs="黑体"/>
          <w:sz w:val="32"/>
          <w:szCs w:val="32"/>
        </w:rPr>
        <w:t>7、实施精准扶贫行动，人社扶贫成效更加显著。</w:t>
      </w:r>
      <w:r>
        <w:rPr>
          <w:rFonts w:hint="eastAsia" w:ascii="仿宋_GB2312" w:hAnsi="楷体_GB2312" w:eastAsia="仿宋_GB2312" w:cs="楷体_GB2312"/>
          <w:b/>
          <w:bCs/>
          <w:sz w:val="32"/>
          <w:szCs w:val="32"/>
        </w:rPr>
        <w:t>一是实施就业扶贫“1234工程”。</w:t>
      </w:r>
      <w:r>
        <w:rPr>
          <w:rFonts w:hint="eastAsia" w:ascii="仿宋_GB2312" w:hAnsi="仿宋_GB2312" w:eastAsia="仿宋_GB2312"/>
          <w:sz w:val="32"/>
          <w:szCs w:val="32"/>
        </w:rPr>
        <w:t>全力落实就业扶贫15条措施，做细“一库五名单”台账，抓实“三示范”载体建设，开展就业扶贫“三大行动”。全年举办扶贫专场招聘会和送岗位“下乡入村”135场次，提供岗位107946个；开展各项就业培训3430人；稳定农村公益性岗位2451个；新建就业扶贫示范基地17家、就业扶贫示范村15个、就业扶贫车间21个。我市被定为全省就业扶贫流动现场会唯一非连片贫困地区参观学习点，并在大会作经验交流发言。</w:t>
      </w:r>
      <w:r>
        <w:rPr>
          <w:rFonts w:hint="eastAsia" w:ascii="仿宋_GB2312" w:hAnsi="楷体_GB2312" w:eastAsia="仿宋_GB2312" w:cs="楷体_GB2312"/>
          <w:b/>
          <w:bCs/>
          <w:sz w:val="32"/>
          <w:szCs w:val="32"/>
        </w:rPr>
        <w:t>二是全面落实社保扶贫政策。</w:t>
      </w:r>
      <w:r>
        <w:rPr>
          <w:rFonts w:hint="eastAsia" w:ascii="仿宋_GB2312" w:hAnsi="仿宋_GB2312" w:eastAsia="仿宋_GB2312"/>
          <w:sz w:val="32"/>
          <w:szCs w:val="32"/>
        </w:rPr>
        <w:t>为建档立卡贫困人员、低保户、特困人员等12.8万名贫困群众按照每人每年300元代缴城乡居保费3344.52万元。60周岁以上符合条件的贫困人口实现了城乡居保养老待遇“应发尽发”。</w:t>
      </w:r>
      <w:r>
        <w:rPr>
          <w:rFonts w:hint="eastAsia" w:ascii="仿宋_GB2312" w:hAnsi="楷体_GB2312" w:eastAsia="仿宋_GB2312" w:cs="楷体_GB2312"/>
          <w:b/>
          <w:bCs/>
          <w:sz w:val="32"/>
          <w:szCs w:val="32"/>
        </w:rPr>
        <w:t>三是大力实施“三支一扶”计划。</w:t>
      </w:r>
      <w:r>
        <w:rPr>
          <w:rFonts w:hint="eastAsia" w:ascii="仿宋_GB2312" w:hAnsi="仿宋_GB2312" w:eastAsia="仿宋_GB2312"/>
          <w:sz w:val="32"/>
          <w:szCs w:val="32"/>
        </w:rPr>
        <w:t>新招募19名高校毕业生到农村一线支医、支教、支农、扶贫,累计开展“三支一扶”岗位培训48人次。</w:t>
      </w:r>
      <w:r>
        <w:rPr>
          <w:rFonts w:hint="eastAsia" w:ascii="仿宋_GB2312" w:hAnsi="楷体_GB2312" w:eastAsia="仿宋_GB2312" w:cs="楷体_GB2312"/>
          <w:b/>
          <w:bCs/>
          <w:sz w:val="32"/>
          <w:szCs w:val="32"/>
        </w:rPr>
        <w:t>四是深化对口帮扶工作。</w:t>
      </w:r>
      <w:r>
        <w:rPr>
          <w:rFonts w:hint="eastAsia" w:ascii="仿宋_GB2312" w:hAnsi="仿宋_GB2312" w:eastAsia="仿宋_GB2312"/>
          <w:sz w:val="32"/>
          <w:szCs w:val="32"/>
        </w:rPr>
        <w:t>深化与理县、道孚、新龙、乡城4个深度贫困县的对口帮扶，落实扶贫培训、就业援助、“以购代扶”活动、干部交流等帮扶举措。扎实做好龙翔村结对帮扶工作，我局被评为脱贫攻坚“五个一”帮扶先进集体。</w:t>
      </w:r>
    </w:p>
    <w:p>
      <w:pPr>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8、实施本领锤炼行动，干部队伍建设更加有力。</w:t>
      </w:r>
      <w:r>
        <w:rPr>
          <w:rFonts w:hint="eastAsia" w:ascii="仿宋_GB2312" w:hAnsi="楷体_GB2312" w:eastAsia="仿宋_GB2312" w:cs="楷体_GB2312"/>
          <w:b/>
          <w:bCs/>
          <w:sz w:val="32"/>
          <w:szCs w:val="32"/>
        </w:rPr>
        <w:t>1.大力倡导学习之风。</w:t>
      </w:r>
      <w:r>
        <w:rPr>
          <w:rFonts w:hint="eastAsia" w:ascii="仿宋_GB2312" w:hAnsi="仿宋_GB2312" w:eastAsia="仿宋_GB2312"/>
          <w:sz w:val="32"/>
          <w:szCs w:val="32"/>
        </w:rPr>
        <w:t>制定《干部职工学习计划》《支部重点学习清单》《2019年度调研计划》，创新开展“一月一学、一季一研讨</w:t>
      </w:r>
      <w:r>
        <w:rPr>
          <w:rFonts w:hint="eastAsia" w:ascii="仿宋_GB2312" w:hAnsi="仿宋_GB2312" w:eastAsia="仿宋_GB2312" w:cs="仿宋_GB2312"/>
          <w:sz w:val="32"/>
          <w:szCs w:val="32"/>
        </w:rPr>
        <w:t>”，开展党组中心组集中学习15次、干部职工学习会12次。</w:t>
      </w:r>
      <w:r>
        <w:rPr>
          <w:rFonts w:hint="eastAsia" w:ascii="仿宋_GB2312" w:hAnsi="楷体_GB2312" w:eastAsia="仿宋_GB2312" w:cs="楷体_GB2312"/>
          <w:b/>
          <w:bCs/>
          <w:sz w:val="32"/>
          <w:szCs w:val="32"/>
        </w:rPr>
        <w:t>2.抓实人社党建工作。</w:t>
      </w:r>
      <w:r>
        <w:rPr>
          <w:rFonts w:hint="eastAsia" w:ascii="仿宋_GB2312" w:hAnsi="仿宋_GB2312" w:eastAsia="仿宋_GB2312" w:cs="仿宋_GB2312"/>
          <w:sz w:val="32"/>
          <w:szCs w:val="32"/>
        </w:rPr>
        <w:t>大力推进“党员积分制”工作。全局各党支部开展爱国主义教育、廉政警示教育、脱贫帮扶慰问等活动100余场次。组织4个基层党组织换届选举，转正预备党员1名，发展入党积极分子3名。局机关一支部被评为市直机关“五好党支部”，3名党员获评市直机关“优秀共产党员”“优秀党务工作者”。</w:t>
      </w:r>
      <w:r>
        <w:rPr>
          <w:rFonts w:hint="eastAsia" w:ascii="仿宋_GB2312" w:hAnsi="仿宋_GB2312" w:eastAsia="仿宋_GB2312"/>
          <w:sz w:val="32"/>
          <w:szCs w:val="32"/>
        </w:rPr>
        <w:t>大我局获得“全市机关党建理论研究成果三等奖”“全市党建研究优秀奖”</w:t>
      </w:r>
      <w:r>
        <w:rPr>
          <w:rFonts w:hint="eastAsia" w:ascii="仿宋_GB2312" w:hAnsi="楷体_GB2312" w:eastAsia="仿宋_GB2312" w:cs="楷体_GB2312"/>
          <w:sz w:val="32"/>
          <w:szCs w:val="32"/>
        </w:rPr>
        <w:t>。</w:t>
      </w:r>
      <w:r>
        <w:rPr>
          <w:rFonts w:hint="eastAsia" w:ascii="仿宋_GB2312" w:hAnsi="楷体_GB2312" w:eastAsia="仿宋_GB2312" w:cs="楷体_GB2312"/>
          <w:b/>
          <w:bCs/>
          <w:sz w:val="32"/>
          <w:szCs w:val="32"/>
        </w:rPr>
        <w:t>3.大力开展练兵比武。</w:t>
      </w:r>
      <w:r>
        <w:rPr>
          <w:rFonts w:hint="eastAsia" w:ascii="仿宋_GB2312" w:hAnsi="仿宋_GB2312" w:eastAsia="仿宋_GB2312" w:cs="仿宋_GB2312"/>
          <w:sz w:val="32"/>
          <w:szCs w:val="32"/>
        </w:rPr>
        <w:t>市、县、乡、社区四级联动开展8个单项业务板块比武练兵，我局荣获全省综合比武三等奖。</w:t>
      </w:r>
      <w:r>
        <w:rPr>
          <w:rFonts w:hint="eastAsia" w:ascii="仿宋_GB2312" w:hAnsi="楷体_GB2312" w:eastAsia="仿宋_GB2312" w:cs="楷体_GB2312"/>
          <w:b/>
          <w:bCs/>
          <w:sz w:val="32"/>
          <w:szCs w:val="32"/>
        </w:rPr>
        <w:t>4.狠抓政风行风建设。</w:t>
      </w:r>
      <w:r>
        <w:rPr>
          <w:rFonts w:hint="eastAsia" w:ascii="仿宋_GB2312" w:hAnsi="仿宋_GB2312" w:eastAsia="仿宋_GB2312" w:cs="仿宋_GB2312"/>
          <w:sz w:val="32"/>
          <w:szCs w:val="32"/>
        </w:rPr>
        <w:t>深入推进系统政风行风三年行动规划，开展不担当不作为、形式主义官僚主义问题专项整治。全面加强干部平时考核管理工作。</w:t>
      </w:r>
      <w:r>
        <w:rPr>
          <w:rFonts w:hint="eastAsia" w:ascii="仿宋_GB2312" w:hAnsi="楷体_GB2312" w:eastAsia="仿宋_GB2312" w:cs="楷体_GB2312"/>
          <w:b/>
          <w:bCs/>
          <w:sz w:val="32"/>
          <w:szCs w:val="32"/>
        </w:rPr>
        <w:t>5.扎实开展主题教育。</w:t>
      </w:r>
      <w:r>
        <w:rPr>
          <w:rFonts w:hint="eastAsia" w:ascii="仿宋_GB2312" w:hAnsi="仿宋_GB2312" w:eastAsia="仿宋_GB2312" w:cs="仿宋_GB2312"/>
          <w:sz w:val="32"/>
          <w:szCs w:val="32"/>
        </w:rPr>
        <w:t>印发“不忘初心、牢记使命”主题教育“1+4+3”实施方案，高质量开展主题教育各项工作</w:t>
      </w:r>
      <w:r>
        <w:rPr>
          <w:rFonts w:hint="eastAsia" w:ascii="仿宋_GB2312" w:hAnsi="仿宋_GB2312" w:eastAsia="仿宋_GB2312"/>
          <w:sz w:val="32"/>
          <w:szCs w:val="32"/>
        </w:rPr>
        <w:t>。在全市主题教育总结会上，市委革军书记传达了省委清华书记对遂宁率先成立农民工服务机构的表扬，对我局创新开展农民工服务保障“十个一”活动、根治农民工欠薪工作给予了充分肯定。</w:t>
      </w:r>
    </w:p>
    <w:p>
      <w:pPr>
        <w:adjustRightInd w:val="0"/>
        <w:snapToGrid w:val="0"/>
        <w:spacing w:line="620" w:lineRule="exact"/>
        <w:ind w:firstLine="640" w:firstLineChars="200"/>
        <w:rPr>
          <w:rStyle w:val="23"/>
          <w:rFonts w:ascii="黑体" w:hAnsi="黑体" w:eastAsia="黑体" w:cs="Times New Roman"/>
          <w:b w:val="0"/>
          <w:bCs w:val="0"/>
        </w:rPr>
      </w:pPr>
      <w:r>
        <w:rPr>
          <w:rFonts w:hint="eastAsia" w:ascii="黑体" w:hAnsi="黑体" w:eastAsia="黑体" w:cs="黑体"/>
          <w:color w:val="000000"/>
          <w:sz w:val="32"/>
          <w:szCs w:val="32"/>
        </w:rPr>
        <w:t>二、机</w:t>
      </w:r>
      <w:r>
        <w:rPr>
          <w:rStyle w:val="23"/>
          <w:rFonts w:hint="eastAsia" w:ascii="黑体" w:hAnsi="黑体" w:eastAsia="黑体" w:cs="黑体"/>
          <w:b w:val="0"/>
          <w:bCs w:val="0"/>
        </w:rPr>
        <w:t>构设置</w:t>
      </w:r>
      <w:bookmarkEnd w:id="7"/>
      <w:bookmarkEnd w:id="8"/>
    </w:p>
    <w:p>
      <w:pPr>
        <w:adjustRightInd w:val="0"/>
        <w:snapToGrid w:val="0"/>
        <w:spacing w:line="620" w:lineRule="exact"/>
        <w:ind w:firstLine="640" w:firstLineChars="200"/>
        <w:rPr>
          <w:rFonts w:ascii="仿宋_GB2312" w:hAnsi="仿宋" w:eastAsia="仿宋_GB2312"/>
          <w:sz w:val="32"/>
          <w:szCs w:val="32"/>
        </w:rPr>
      </w:pPr>
      <w:r>
        <w:rPr>
          <w:rStyle w:val="41"/>
          <w:rFonts w:hint="eastAsia" w:ascii="仿宋_GB2312" w:hAnsi="仿宋_GB2312" w:eastAsia="仿宋_GB2312"/>
          <w:sz w:val="32"/>
          <w:szCs w:val="32"/>
        </w:rPr>
        <w:t>遂宁市人力资源和社会保障局下属二级预算单位</w:t>
      </w:r>
      <w:r>
        <w:rPr>
          <w:rFonts w:hint="eastAsia" w:ascii="仿宋_GB2312" w:hAnsi="仿宋" w:eastAsia="仿宋_GB2312"/>
          <w:sz w:val="32"/>
          <w:szCs w:val="32"/>
        </w:rPr>
        <w:t>6个，其中行政单位1个（市人力资源和社会保障局），参照公务员法管理的事业单位</w:t>
      </w:r>
      <w:r>
        <w:rPr>
          <w:rFonts w:hint="eastAsia" w:ascii="仿宋_GB2312" w:hAnsi="仿宋" w:eastAsia="仿宋_GB2312"/>
          <w:bCs/>
          <w:sz w:val="32"/>
          <w:szCs w:val="32"/>
        </w:rPr>
        <w:t>4</w:t>
      </w:r>
      <w:r>
        <w:rPr>
          <w:rFonts w:hint="eastAsia" w:ascii="仿宋_GB2312" w:hAnsi="仿宋" w:eastAsia="仿宋_GB2312"/>
          <w:sz w:val="32"/>
          <w:szCs w:val="32"/>
        </w:rPr>
        <w:t>个（市就业局、市社保局、市劳动保障监察支队、市劳动人事争议仲裁院）；其他事业单位1个（市农民工服务中心）。</w:t>
      </w:r>
    </w:p>
    <w:p>
      <w:pPr>
        <w:pStyle w:val="6"/>
        <w:adjustRightInd w:val="0"/>
        <w:snapToGrid w:val="0"/>
        <w:spacing w:before="93" w:line="620" w:lineRule="exact"/>
        <w:ind w:firstLine="640" w:firstLineChars="200"/>
        <w:rPr>
          <w:rFonts w:hAnsi="仿宋"/>
          <w:color w:val="000000"/>
          <w:sz w:val="32"/>
          <w:szCs w:val="32"/>
        </w:rPr>
      </w:pPr>
      <w:r>
        <w:rPr>
          <w:rFonts w:hint="eastAsia" w:hAnsi="仿宋"/>
          <w:color w:val="000000"/>
          <w:sz w:val="32"/>
          <w:szCs w:val="32"/>
        </w:rPr>
        <w:t>纳入市人力资源和社会保障部门</w:t>
      </w:r>
      <w:r>
        <w:rPr>
          <w:rFonts w:hAnsi="仿宋"/>
          <w:color w:val="000000"/>
          <w:sz w:val="32"/>
          <w:szCs w:val="32"/>
        </w:rPr>
        <w:t>2018</w:t>
      </w:r>
      <w:r>
        <w:rPr>
          <w:rFonts w:hint="eastAsia" w:hAnsi="仿宋"/>
          <w:color w:val="000000"/>
          <w:sz w:val="32"/>
          <w:szCs w:val="32"/>
        </w:rPr>
        <w:t>年度部门决算编制范围的二级预算单位包括：</w:t>
      </w:r>
    </w:p>
    <w:p>
      <w:pPr>
        <w:pStyle w:val="6"/>
        <w:adjustRightInd w:val="0"/>
        <w:snapToGrid w:val="0"/>
        <w:spacing w:beforeLines="0" w:line="620" w:lineRule="exact"/>
        <w:ind w:firstLine="640" w:firstLineChars="200"/>
        <w:outlineLvl w:val="2"/>
        <w:rPr>
          <w:rFonts w:hAnsi="仿宋"/>
          <w:color w:val="000000"/>
          <w:sz w:val="32"/>
          <w:szCs w:val="32"/>
        </w:rPr>
      </w:pPr>
      <w:r>
        <w:rPr>
          <w:rFonts w:hAnsi="仿宋"/>
          <w:color w:val="000000"/>
          <w:sz w:val="32"/>
          <w:szCs w:val="32"/>
        </w:rPr>
        <w:t>1.</w:t>
      </w:r>
      <w:r>
        <w:rPr>
          <w:rFonts w:hint="eastAsia" w:hAnsi="仿宋"/>
          <w:color w:val="000000"/>
          <w:sz w:val="32"/>
          <w:szCs w:val="32"/>
        </w:rPr>
        <w:t>市人力资源和社会保障局</w:t>
      </w:r>
    </w:p>
    <w:p>
      <w:pPr>
        <w:pStyle w:val="6"/>
        <w:adjustRightInd w:val="0"/>
        <w:snapToGrid w:val="0"/>
        <w:spacing w:beforeLines="0" w:line="620" w:lineRule="exact"/>
        <w:ind w:firstLine="640" w:firstLineChars="200"/>
        <w:outlineLvl w:val="2"/>
        <w:rPr>
          <w:rFonts w:hAnsi="仿宋"/>
          <w:color w:val="000000"/>
          <w:sz w:val="32"/>
          <w:szCs w:val="32"/>
        </w:rPr>
      </w:pPr>
      <w:r>
        <w:rPr>
          <w:rFonts w:hAnsi="仿宋"/>
          <w:color w:val="000000"/>
          <w:sz w:val="32"/>
          <w:szCs w:val="32"/>
        </w:rPr>
        <w:t>2.</w:t>
      </w:r>
      <w:r>
        <w:rPr>
          <w:rFonts w:hint="eastAsia" w:hAnsi="仿宋"/>
          <w:color w:val="000000"/>
          <w:sz w:val="32"/>
          <w:szCs w:val="32"/>
        </w:rPr>
        <w:t>市就业服务管理局</w:t>
      </w:r>
    </w:p>
    <w:p>
      <w:pPr>
        <w:pStyle w:val="6"/>
        <w:adjustRightInd w:val="0"/>
        <w:snapToGrid w:val="0"/>
        <w:spacing w:beforeLines="0" w:line="620" w:lineRule="exact"/>
        <w:ind w:firstLine="640" w:firstLineChars="200"/>
        <w:outlineLvl w:val="2"/>
        <w:rPr>
          <w:rFonts w:hAnsi="仿宋"/>
          <w:color w:val="000000"/>
          <w:sz w:val="32"/>
          <w:szCs w:val="32"/>
        </w:rPr>
      </w:pPr>
      <w:r>
        <w:rPr>
          <w:rFonts w:hAnsi="仿宋"/>
          <w:color w:val="000000"/>
          <w:sz w:val="32"/>
          <w:szCs w:val="32"/>
        </w:rPr>
        <w:t>3.</w:t>
      </w:r>
      <w:r>
        <w:rPr>
          <w:rFonts w:hint="eastAsia" w:hAnsi="仿宋"/>
          <w:color w:val="000000"/>
          <w:sz w:val="32"/>
          <w:szCs w:val="32"/>
        </w:rPr>
        <w:t>市社会保险事业管理局</w:t>
      </w:r>
    </w:p>
    <w:p>
      <w:pPr>
        <w:pStyle w:val="6"/>
        <w:adjustRightInd w:val="0"/>
        <w:snapToGrid w:val="0"/>
        <w:spacing w:beforeLines="0" w:line="620" w:lineRule="exact"/>
        <w:ind w:firstLine="640" w:firstLineChars="200"/>
        <w:outlineLvl w:val="2"/>
        <w:rPr>
          <w:rFonts w:hAnsi="仿宋"/>
          <w:color w:val="000000"/>
          <w:sz w:val="32"/>
          <w:szCs w:val="32"/>
        </w:rPr>
      </w:pPr>
      <w:r>
        <w:rPr>
          <w:rFonts w:hAnsi="仿宋"/>
          <w:color w:val="000000"/>
          <w:sz w:val="32"/>
          <w:szCs w:val="32"/>
        </w:rPr>
        <w:t>4.</w:t>
      </w:r>
      <w:r>
        <w:rPr>
          <w:rFonts w:hint="eastAsia" w:hAnsi="仿宋"/>
          <w:color w:val="000000"/>
          <w:sz w:val="32"/>
          <w:szCs w:val="32"/>
        </w:rPr>
        <w:t>市劳动保障监察支队</w:t>
      </w:r>
    </w:p>
    <w:p>
      <w:pPr>
        <w:pStyle w:val="6"/>
        <w:adjustRightInd w:val="0"/>
        <w:snapToGrid w:val="0"/>
        <w:spacing w:beforeLines="0" w:line="620" w:lineRule="exact"/>
        <w:ind w:firstLine="640" w:firstLineChars="200"/>
        <w:outlineLvl w:val="2"/>
        <w:rPr>
          <w:rFonts w:hAnsi="仿宋"/>
          <w:color w:val="000000"/>
          <w:sz w:val="32"/>
          <w:szCs w:val="32"/>
        </w:rPr>
      </w:pPr>
      <w:r>
        <w:rPr>
          <w:rFonts w:hAnsi="仿宋"/>
          <w:color w:val="000000"/>
          <w:sz w:val="32"/>
          <w:szCs w:val="32"/>
        </w:rPr>
        <w:t>5.</w:t>
      </w:r>
      <w:r>
        <w:rPr>
          <w:rFonts w:hint="eastAsia" w:hAnsi="仿宋"/>
          <w:color w:val="000000"/>
          <w:sz w:val="32"/>
          <w:szCs w:val="32"/>
        </w:rPr>
        <w:t>市劳动人事争议仲裁院</w:t>
      </w:r>
    </w:p>
    <w:p>
      <w:pPr>
        <w:pStyle w:val="6"/>
        <w:adjustRightInd w:val="0"/>
        <w:snapToGrid w:val="0"/>
        <w:spacing w:beforeLines="0" w:line="620" w:lineRule="exact"/>
        <w:ind w:firstLine="640" w:firstLineChars="200"/>
        <w:outlineLvl w:val="2"/>
        <w:rPr>
          <w:rFonts w:hAnsi="仿宋"/>
          <w:color w:val="000000"/>
          <w:sz w:val="32"/>
          <w:szCs w:val="32"/>
        </w:rPr>
      </w:pPr>
      <w:r>
        <w:rPr>
          <w:rFonts w:hint="eastAsia" w:hAnsi="仿宋"/>
          <w:color w:val="000000"/>
          <w:sz w:val="32"/>
          <w:szCs w:val="32"/>
        </w:rPr>
        <w:t>6</w:t>
      </w:r>
      <w:r>
        <w:rPr>
          <w:rFonts w:hAnsi="仿宋"/>
          <w:color w:val="000000"/>
          <w:sz w:val="32"/>
          <w:szCs w:val="32"/>
        </w:rPr>
        <w:t>.</w:t>
      </w:r>
      <w:r>
        <w:rPr>
          <w:rFonts w:hint="eastAsia" w:hAnsi="仿宋"/>
          <w:color w:val="000000"/>
          <w:sz w:val="32"/>
          <w:szCs w:val="32"/>
        </w:rPr>
        <w:t>市农民工服务中心</w:t>
      </w:r>
      <w:bookmarkStart w:id="9" w:name="_Toc15396602"/>
      <w:bookmarkStart w:id="10" w:name="_Toc15377204"/>
    </w:p>
    <w:p>
      <w:pPr>
        <w:jc w:val="center"/>
        <w:rPr>
          <w:rFonts w:ascii="黑体" w:hAnsi="黑体" w:eastAsia="黑体"/>
          <w:sz w:val="44"/>
          <w:szCs w:val="44"/>
        </w:rPr>
      </w:pPr>
      <w:r>
        <w:rPr>
          <w:rFonts w:hint="eastAsia" w:ascii="黑体" w:hAnsi="黑体" w:eastAsia="黑体" w:cs="黑体"/>
          <w:sz w:val="44"/>
          <w:szCs w:val="44"/>
        </w:rPr>
        <w:t>第二部分</w:t>
      </w:r>
      <w:r>
        <w:rPr>
          <w:rFonts w:ascii="黑体" w:hAnsi="黑体" w:eastAsia="黑体" w:cs="黑体"/>
          <w:sz w:val="44"/>
          <w:szCs w:val="44"/>
        </w:rPr>
        <w:t xml:space="preserve">  201</w:t>
      </w:r>
      <w:r>
        <w:rPr>
          <w:rFonts w:hint="eastAsia" w:ascii="黑体" w:hAnsi="黑体" w:eastAsia="黑体" w:cs="黑体"/>
          <w:sz w:val="44"/>
          <w:szCs w:val="44"/>
        </w:rPr>
        <w:t>9年度部门决算情况说明</w:t>
      </w:r>
      <w:bookmarkEnd w:id="9"/>
      <w:bookmarkEnd w:id="10"/>
    </w:p>
    <w:p>
      <w:pPr>
        <w:pStyle w:val="32"/>
        <w:spacing w:line="600" w:lineRule="exact"/>
        <w:ind w:firstLine="0" w:firstLineChars="0"/>
        <w:outlineLvl w:val="1"/>
        <w:rPr>
          <w:rFonts w:ascii="黑体" w:hAnsi="黑体" w:eastAsia="黑体"/>
          <w:color w:val="000000"/>
          <w:sz w:val="32"/>
          <w:szCs w:val="32"/>
        </w:rPr>
      </w:pPr>
      <w:bookmarkStart w:id="11" w:name="_Toc15396603"/>
      <w:bookmarkStart w:id="12" w:name="_Toc15377205"/>
    </w:p>
    <w:p>
      <w:pPr>
        <w:pStyle w:val="32"/>
        <w:adjustRightInd w:val="0"/>
        <w:snapToGrid w:val="0"/>
        <w:spacing w:line="620" w:lineRule="exact"/>
        <w:ind w:firstLine="640"/>
        <w:outlineLvl w:val="1"/>
        <w:rPr>
          <w:rStyle w:val="23"/>
          <w:rFonts w:ascii="黑体" w:hAnsi="黑体" w:eastAsia="黑体" w:cs="Times New Roman"/>
          <w:b w:val="0"/>
          <w:bCs w:val="0"/>
        </w:rPr>
      </w:pPr>
      <w:r>
        <w:rPr>
          <w:rFonts w:hint="eastAsia" w:ascii="黑体" w:hAnsi="黑体" w:eastAsia="黑体" w:cs="黑体"/>
          <w:color w:val="000000"/>
          <w:sz w:val="32"/>
          <w:szCs w:val="32"/>
        </w:rPr>
        <w:t>一、收</w:t>
      </w:r>
      <w:r>
        <w:rPr>
          <w:rStyle w:val="23"/>
          <w:rFonts w:hint="eastAsia" w:ascii="黑体" w:hAnsi="黑体" w:eastAsia="黑体" w:cs="黑体"/>
          <w:b w:val="0"/>
          <w:bCs w:val="0"/>
        </w:rPr>
        <w:t>入支出决算总体情况说明</w:t>
      </w:r>
      <w:bookmarkEnd w:id="11"/>
      <w:bookmarkEnd w:id="12"/>
    </w:p>
    <w:p>
      <w:pPr>
        <w:adjustRightInd w:val="0"/>
        <w:snapToGrid w:val="0"/>
        <w:spacing w:line="62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9年度收、支总计4784.16万元。与</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8年相比，收、支总计各减少2012.74万元，增长29.61</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。主要变动原因是2019年机构职能划转，整体划出市医保局、市军培中心两个单位导致收支总额降低。</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572635" cy="2746375"/>
            <wp:effectExtent l="4445" t="4445" r="13970" b="11430"/>
            <wp:docPr id="6"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：收、支决算总计变动情况图）（柱状图）</w:t>
      </w:r>
      <w:bookmarkStart w:id="13" w:name="_Toc15396604"/>
      <w:bookmarkStart w:id="14" w:name="_Toc15377206"/>
    </w:p>
    <w:p>
      <w:pPr>
        <w:spacing w:line="620" w:lineRule="exact"/>
        <w:ind w:firstLine="640" w:firstLineChars="200"/>
        <w:rPr>
          <w:rFonts w:ascii="黑体" w:hAnsi="黑体" w:eastAsia="黑体"/>
          <w:sz w:val="32"/>
          <w:szCs w:val="32"/>
        </w:rPr>
      </w:pPr>
      <w:r>
        <w:rPr>
          <w:rFonts w:hint="eastAsia" w:ascii="黑体" w:hAnsi="黑体" w:eastAsia="黑体" w:cs="黑体"/>
          <w:sz w:val="32"/>
          <w:szCs w:val="32"/>
        </w:rPr>
        <w:t>二</w:t>
      </w:r>
      <w:r>
        <w:rPr>
          <w:rFonts w:hint="eastAsia" w:ascii="仿宋_GB2312" w:eastAsia="仿宋_GB2312" w:cs="仿宋_GB2312"/>
          <w:sz w:val="32"/>
          <w:szCs w:val="32"/>
        </w:rPr>
        <w:t>、</w:t>
      </w:r>
      <w:r>
        <w:rPr>
          <w:rFonts w:hint="eastAsia" w:ascii="黑体" w:hAnsi="黑体" w:eastAsia="黑体" w:cs="黑体"/>
          <w:sz w:val="32"/>
          <w:szCs w:val="32"/>
        </w:rPr>
        <w:t>收入决算情况说明</w:t>
      </w:r>
      <w:bookmarkEnd w:id="13"/>
      <w:bookmarkEnd w:id="14"/>
    </w:p>
    <w:p>
      <w:pPr>
        <w:snapToGrid w:val="0"/>
        <w:spacing w:line="360" w:lineRule="auto"/>
        <w:ind w:firstLine="640" w:firstLineChars="200"/>
        <w:rPr>
          <w:rFonts w:ascii="仿宋" w:hAnsi="仿宋" w:eastAsia="仿宋"/>
          <w:sz w:val="32"/>
          <w:szCs w:val="32"/>
        </w:rPr>
      </w:pPr>
      <w:bookmarkStart w:id="15" w:name="_Toc15396605"/>
      <w:bookmarkStart w:id="16" w:name="_Toc15377207"/>
      <w:r>
        <w:rPr>
          <w:rFonts w:hint="eastAsia" w:ascii="仿宋" w:hAnsi="仿宋" w:eastAsia="仿宋"/>
          <w:sz w:val="32"/>
          <w:szCs w:val="32"/>
        </w:rPr>
        <w:t>2019年本年收入4446.28万元，其中：一般公共财政拨款4003.36万元，占90.10%；其他收入442.92万元，占9.90%。</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drawing>
          <wp:inline distT="0" distB="0" distL="114300" distR="114300">
            <wp:extent cx="4572635" cy="2746375"/>
            <wp:effectExtent l="4445" t="4445" r="13970" b="11430"/>
            <wp:docPr id="7"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：收入决算结构图）（饼状图）</w:t>
      </w:r>
    </w:p>
    <w:p>
      <w:pPr>
        <w:ind w:firstLine="480" w:firstLineChars="200"/>
        <w:rPr>
          <w:rFonts w:ascii="黑体" w:hAnsi="黑体" w:eastAsia="黑体"/>
          <w:sz w:val="32"/>
          <w:szCs w:val="32"/>
        </w:rPr>
      </w:pPr>
      <w:r>
        <w:rPr>
          <w:rFonts w:ascii="仿宋" w:hAnsi="仿宋" w:eastAsia="仿宋" w:cs="仿宋"/>
        </w:rPr>
        <w:t xml:space="preserve">  </w:t>
      </w:r>
      <w:r>
        <w:rPr>
          <w:rFonts w:hint="eastAsia" w:ascii="黑体" w:hAnsi="黑体" w:eastAsia="黑体" w:cs="黑体"/>
          <w:color w:val="000000"/>
          <w:sz w:val="32"/>
          <w:szCs w:val="32"/>
        </w:rPr>
        <w:t>三、支</w:t>
      </w:r>
      <w:r>
        <w:rPr>
          <w:rStyle w:val="23"/>
          <w:rFonts w:hint="eastAsia" w:ascii="黑体" w:hAnsi="黑体" w:eastAsia="黑体" w:cs="黑体"/>
          <w:b w:val="0"/>
          <w:bCs w:val="0"/>
        </w:rPr>
        <w:t>出决算情况说明</w:t>
      </w:r>
      <w:bookmarkEnd w:id="15"/>
      <w:bookmarkEnd w:id="16"/>
    </w:p>
    <w:p>
      <w:pPr>
        <w:adjustRightInd w:val="0"/>
        <w:snapToGrid w:val="0"/>
        <w:spacing w:line="620" w:lineRule="exact"/>
        <w:ind w:firstLine="480" w:firstLineChars="200"/>
        <w:rPr>
          <w:rFonts w:ascii="仿宋_GB2312" w:hAnsi="仿宋" w:eastAsia="仿宋_GB2312"/>
          <w:sz w:val="32"/>
          <w:szCs w:val="32"/>
        </w:rPr>
      </w:pPr>
      <w:r>
        <w:drawing>
          <wp:anchor distT="0" distB="0" distL="114300" distR="114300" simplePos="0" relativeHeight="251659264" behindDoc="0" locked="0" layoutInCell="1" allowOverlap="1">
            <wp:simplePos x="0" y="0"/>
            <wp:positionH relativeFrom="column">
              <wp:posOffset>502285</wp:posOffset>
            </wp:positionH>
            <wp:positionV relativeFrom="paragraph">
              <wp:posOffset>751205</wp:posOffset>
            </wp:positionV>
            <wp:extent cx="4572635" cy="3773805"/>
            <wp:effectExtent l="4445" t="4445" r="13970" b="12700"/>
            <wp:wrapNone/>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_GB2312" w:hAnsi="仿宋" w:eastAsia="仿宋_GB2312" w:cs="仿宋_GB2312"/>
          <w:sz w:val="32"/>
          <w:szCs w:val="32"/>
        </w:rPr>
        <w:t>201</w:t>
      </w:r>
      <w:r>
        <w:rPr>
          <w:rFonts w:hint="eastAsia" w:ascii="仿宋_GB2312" w:hAnsi="仿宋" w:eastAsia="仿宋_GB2312" w:cs="仿宋_GB2312"/>
          <w:sz w:val="32"/>
          <w:szCs w:val="32"/>
        </w:rPr>
        <w:t>9年本年支出4392.50万元，其中：基本支出2781.22万元，占63.32</w:t>
      </w:r>
      <w:r>
        <w:rPr>
          <w:rFonts w:ascii="仿宋_GB2312" w:hAnsi="仿宋" w:eastAsia="仿宋_GB2312" w:cs="仿宋_GB2312"/>
          <w:sz w:val="32"/>
          <w:szCs w:val="32"/>
        </w:rPr>
        <w:t>%</w:t>
      </w:r>
      <w:r>
        <w:rPr>
          <w:rFonts w:hint="eastAsia" w:ascii="仿宋_GB2312" w:hAnsi="仿宋" w:eastAsia="仿宋_GB2312" w:cs="仿宋_GB2312"/>
          <w:sz w:val="32"/>
          <w:szCs w:val="32"/>
        </w:rPr>
        <w:t>；项目支出1611.28万元，占36.68</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：支出决算结构图）（饼状图）</w:t>
      </w:r>
    </w:p>
    <w:p>
      <w:pPr>
        <w:spacing w:line="620" w:lineRule="exact"/>
        <w:ind w:firstLine="640" w:firstLineChars="200"/>
        <w:outlineLvl w:val="1"/>
        <w:rPr>
          <w:rStyle w:val="23"/>
          <w:rFonts w:ascii="黑体" w:hAnsi="黑体" w:eastAsia="黑体" w:cs="Times New Roman"/>
          <w:b w:val="0"/>
          <w:bCs w:val="0"/>
        </w:rPr>
      </w:pPr>
      <w:bookmarkStart w:id="17" w:name="_Toc15396606"/>
      <w:bookmarkStart w:id="18" w:name="_Toc15377208"/>
      <w:r>
        <w:rPr>
          <w:rFonts w:hint="eastAsia" w:ascii="黑体" w:hAnsi="黑体" w:eastAsia="黑体" w:cs="黑体"/>
          <w:color w:val="000000"/>
          <w:sz w:val="32"/>
          <w:szCs w:val="32"/>
        </w:rPr>
        <w:t>四、财</w:t>
      </w:r>
      <w:r>
        <w:rPr>
          <w:rStyle w:val="23"/>
          <w:rFonts w:hint="eastAsia" w:ascii="黑体" w:hAnsi="黑体" w:eastAsia="黑体" w:cs="黑体"/>
          <w:b w:val="0"/>
          <w:bCs w:val="0"/>
        </w:rPr>
        <w:t>政拨款收入支出决算总体情况说明</w:t>
      </w:r>
      <w:bookmarkEnd w:id="17"/>
      <w:bookmarkEnd w:id="18"/>
    </w:p>
    <w:p>
      <w:pPr>
        <w:adjustRightInd w:val="0"/>
        <w:snapToGrid w:val="0"/>
        <w:spacing w:line="62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9年财政拨款收、支总计4114.17万元。与</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rPr>
        <w:t>18年相比，财政拨款收、支总计减少1211.07万元，下降22.74</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。主要变动原因是2019年机构职能划转，整体划出市医保局、市军培中心两个单位导致收支总额降低。</w:t>
      </w:r>
    </w:p>
    <w:p>
      <w:pPr>
        <w:spacing w:line="600" w:lineRule="exact"/>
        <w:ind w:firstLine="48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426085</wp:posOffset>
            </wp:positionH>
            <wp:positionV relativeFrom="paragraph">
              <wp:posOffset>78740</wp:posOffset>
            </wp:positionV>
            <wp:extent cx="4572635" cy="2746375"/>
            <wp:effectExtent l="4445" t="4445" r="13970" b="11430"/>
            <wp:wrapNone/>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：财政拨款收、支决算总计变动情况）（柱状图）</w:t>
      </w:r>
    </w:p>
    <w:p>
      <w:pPr>
        <w:spacing w:line="620" w:lineRule="exact"/>
        <w:ind w:firstLine="640" w:firstLineChars="200"/>
        <w:outlineLvl w:val="1"/>
        <w:rPr>
          <w:rStyle w:val="23"/>
          <w:rFonts w:ascii="黑体" w:hAnsi="黑体" w:eastAsia="黑体" w:cs="Times New Roman"/>
          <w:b w:val="0"/>
          <w:bCs w:val="0"/>
        </w:rPr>
      </w:pPr>
      <w:bookmarkStart w:id="19" w:name="_Toc15377209"/>
      <w:bookmarkStart w:id="20" w:name="_Toc15396607"/>
      <w:r>
        <w:rPr>
          <w:rFonts w:hint="eastAsia" w:ascii="黑体" w:hAnsi="黑体" w:eastAsia="黑体" w:cs="黑体"/>
          <w:color w:val="000000"/>
          <w:sz w:val="32"/>
          <w:szCs w:val="32"/>
        </w:rPr>
        <w:t>五、一</w:t>
      </w:r>
      <w:r>
        <w:rPr>
          <w:rStyle w:val="23"/>
          <w:rFonts w:hint="eastAsia" w:ascii="黑体" w:hAnsi="黑体" w:eastAsia="黑体" w:cs="黑体"/>
          <w:b w:val="0"/>
          <w:bCs w:val="0"/>
        </w:rPr>
        <w:t>般公共预算财政拨款支出决算情况说明</w:t>
      </w:r>
      <w:bookmarkEnd w:id="19"/>
      <w:bookmarkEnd w:id="20"/>
    </w:p>
    <w:p>
      <w:pPr>
        <w:spacing w:line="620" w:lineRule="exact"/>
        <w:ind w:firstLine="643" w:firstLineChars="200"/>
        <w:outlineLvl w:val="2"/>
        <w:rPr>
          <w:rFonts w:ascii="楷体_GB2312" w:hAnsi="仿宋" w:eastAsia="楷体_GB2312"/>
          <w:b/>
          <w:bCs/>
          <w:color w:val="000000"/>
          <w:sz w:val="32"/>
          <w:szCs w:val="32"/>
        </w:rPr>
      </w:pPr>
      <w:bookmarkStart w:id="21" w:name="_Toc15377210"/>
      <w:r>
        <w:rPr>
          <w:rFonts w:hint="eastAsia" w:ascii="楷体_GB2312" w:hAnsi="仿宋" w:eastAsia="楷体_GB2312" w:cs="楷体_GB2312"/>
          <w:b/>
          <w:bCs/>
          <w:color w:val="000000"/>
          <w:sz w:val="32"/>
          <w:szCs w:val="32"/>
        </w:rPr>
        <w:t>（一）一般公共预算财政拨款支出决算总体情况</w:t>
      </w:r>
      <w:bookmarkEnd w:id="21"/>
    </w:p>
    <w:p>
      <w:pPr>
        <w:adjustRightInd w:val="0"/>
        <w:snapToGrid w:val="0"/>
        <w:spacing w:line="62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9年一般公共预算财政拨款支出3879.48万元，占本年支出合计的94.32</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8年相比，一般公共预算财政拨款减少1286.62万元，下降24.90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。主要变动原因是2019年机构职能划转，整体划出市医保局、市军培中心两个单位导致支出总额降低。</w:t>
      </w:r>
    </w:p>
    <w:p>
      <w:pPr>
        <w:spacing w:line="620" w:lineRule="exact"/>
        <w:ind w:firstLine="640" w:firstLineChars="200"/>
        <w:rPr>
          <w:rFonts w:ascii="仿宋_GB2312" w:hAnsi="仿宋" w:eastAsia="仿宋_GB2312"/>
          <w:color w:val="000000"/>
          <w:sz w:val="32"/>
          <w:szCs w:val="32"/>
        </w:rPr>
      </w:pPr>
    </w:p>
    <w:p>
      <w:pPr>
        <w:spacing w:line="620" w:lineRule="exact"/>
        <w:ind w:firstLine="640" w:firstLineChars="200"/>
        <w:rPr>
          <w:rFonts w:ascii="仿宋_GB2312" w:hAnsi="仿宋" w:eastAsia="仿宋_GB2312"/>
          <w:color w:val="000000"/>
          <w:sz w:val="32"/>
          <w:szCs w:val="32"/>
        </w:rPr>
      </w:pPr>
    </w:p>
    <w:p>
      <w:pPr>
        <w:spacing w:line="620" w:lineRule="exact"/>
        <w:ind w:firstLine="640" w:firstLineChars="200"/>
        <w:rPr>
          <w:rFonts w:ascii="仿宋_GB2312" w:hAnsi="仿宋" w:eastAsia="仿宋_GB2312"/>
          <w:color w:val="000000"/>
          <w:sz w:val="32"/>
          <w:szCs w:val="32"/>
        </w:rPr>
      </w:pPr>
    </w:p>
    <w:p>
      <w:pPr>
        <w:spacing w:line="620" w:lineRule="exact"/>
        <w:ind w:firstLine="640" w:firstLineChars="200"/>
        <w:rPr>
          <w:rFonts w:ascii="仿宋_GB2312" w:hAnsi="仿宋" w:eastAsia="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640" w:firstLineChars="200"/>
        <w:rPr>
          <w:rFonts w:ascii="仿宋_GB2312" w:hAnsi="仿宋" w:eastAsia="仿宋_GB2312" w:cs="仿宋_GB2312"/>
          <w:color w:val="000000"/>
          <w:sz w:val="32"/>
          <w:szCs w:val="32"/>
        </w:rPr>
      </w:pPr>
    </w:p>
    <w:p>
      <w:pPr>
        <w:spacing w:line="620" w:lineRule="exact"/>
        <w:ind w:firstLine="480" w:firstLineChars="200"/>
        <w:rPr>
          <w:rFonts w:ascii="仿宋_GB2312" w:hAnsi="仿宋"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426085</wp:posOffset>
            </wp:positionH>
            <wp:positionV relativeFrom="paragraph">
              <wp:posOffset>-2427605</wp:posOffset>
            </wp:positionV>
            <wp:extent cx="4572635" cy="2746375"/>
            <wp:effectExtent l="4445" t="4445" r="13970" b="11430"/>
            <wp:wrapNone/>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：一般公共预算财政拨款支出决算变动情况）（柱状图）</w:t>
      </w:r>
    </w:p>
    <w:p>
      <w:pPr>
        <w:spacing w:line="620" w:lineRule="exact"/>
        <w:ind w:firstLine="643" w:firstLineChars="200"/>
        <w:outlineLvl w:val="2"/>
        <w:rPr>
          <w:rFonts w:ascii="楷体_GB2312" w:hAnsi="仿宋" w:eastAsia="楷体_GB2312"/>
          <w:b/>
          <w:bCs/>
          <w:color w:val="000000"/>
          <w:sz w:val="32"/>
          <w:szCs w:val="32"/>
        </w:rPr>
      </w:pPr>
      <w:bookmarkStart w:id="22" w:name="_Toc15377211"/>
      <w:r>
        <w:rPr>
          <w:rFonts w:hint="eastAsia" w:ascii="楷体_GB2312" w:hAnsi="仿宋" w:eastAsia="楷体_GB2312" w:cs="楷体_GB2312"/>
          <w:b/>
          <w:bCs/>
          <w:color w:val="000000"/>
          <w:sz w:val="32"/>
          <w:szCs w:val="32"/>
        </w:rPr>
        <w:t>（二）一般公共预算财政拨款支出决算结构情况</w:t>
      </w:r>
      <w:bookmarkEnd w:id="22"/>
    </w:p>
    <w:p>
      <w:pPr>
        <w:spacing w:line="620" w:lineRule="exact"/>
        <w:ind w:firstLine="640" w:firstLineChars="200"/>
        <w:outlineLvl w:val="2"/>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9年一般公共预算财政拨款支出3879.48万元，主要用于以下方面</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一般公共服务（类）支出140万元，占3.61</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；社会保障和就业（类）支出3427.81万元，占88.36</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；医疗卫生支出102.15万元，占2.63</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；住房保障支出209.39万元，占5.39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。其他支出0.13万元，占0.01%</w:t>
      </w:r>
    </w:p>
    <w:p>
      <w:pPr>
        <w:spacing w:line="600" w:lineRule="exact"/>
        <w:ind w:firstLine="48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426085</wp:posOffset>
            </wp:positionH>
            <wp:positionV relativeFrom="paragraph">
              <wp:posOffset>15240</wp:posOffset>
            </wp:positionV>
            <wp:extent cx="4572635" cy="2746375"/>
            <wp:effectExtent l="4445" t="4445" r="13970" b="11430"/>
            <wp:wrapNone/>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：一般公共预算财政拨款支出决算结构）（饼状图）</w:t>
      </w:r>
    </w:p>
    <w:p>
      <w:pPr>
        <w:adjustRightInd w:val="0"/>
        <w:snapToGrid w:val="0"/>
        <w:spacing w:line="620" w:lineRule="exact"/>
        <w:ind w:firstLine="643" w:firstLineChars="200"/>
        <w:outlineLvl w:val="2"/>
        <w:rPr>
          <w:rFonts w:ascii="楷体_GB2312" w:hAnsi="仿宋" w:eastAsia="楷体_GB2312"/>
          <w:b/>
          <w:bCs/>
          <w:color w:val="000000"/>
          <w:sz w:val="32"/>
          <w:szCs w:val="32"/>
        </w:rPr>
      </w:pPr>
      <w:bookmarkStart w:id="23" w:name="_Toc15377212"/>
      <w:r>
        <w:rPr>
          <w:rFonts w:hint="eastAsia" w:ascii="楷体_GB2312" w:hAnsi="仿宋" w:eastAsia="楷体_GB2312" w:cs="楷体_GB2312"/>
          <w:b/>
          <w:bCs/>
          <w:color w:val="000000"/>
          <w:sz w:val="32"/>
          <w:szCs w:val="32"/>
        </w:rPr>
        <w:t>（三）一般公共预算财政拨款支出决算具体情况</w:t>
      </w:r>
      <w:bookmarkEnd w:id="23"/>
    </w:p>
    <w:p>
      <w:pPr>
        <w:adjustRightInd w:val="0"/>
        <w:snapToGrid w:val="0"/>
        <w:spacing w:line="620" w:lineRule="exact"/>
        <w:ind w:firstLine="640" w:firstLineChars="200"/>
        <w:rPr>
          <w:rFonts w:ascii="仿宋_GB2312" w:hAnsi="仿宋" w:eastAsia="仿宋_GB2312"/>
          <w:color w:val="000000"/>
          <w:sz w:val="32"/>
          <w:szCs w:val="32"/>
        </w:rPr>
      </w:pPr>
      <w:bookmarkStart w:id="24" w:name="_Toc15377213"/>
      <w:bookmarkStart w:id="25" w:name="_Toc15378460"/>
      <w:bookmarkStart w:id="26" w:name="_Toc15377444"/>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9年一般公共预算支出决算数为3879.47元，完成预算96.91</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。其中：</w:t>
      </w:r>
      <w:bookmarkEnd w:id="24"/>
      <w:bookmarkEnd w:id="25"/>
      <w:bookmarkEnd w:id="26"/>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（数据来源财决</w:t>
      </w:r>
      <w:r>
        <w:rPr>
          <w:rFonts w:ascii="仿宋_GB2312" w:hAnsi="仿宋" w:eastAsia="仿宋_GB2312" w:cs="仿宋_GB2312"/>
          <w:color w:val="000000"/>
          <w:sz w:val="32"/>
          <w:szCs w:val="32"/>
        </w:rPr>
        <w:t>08</w:t>
      </w:r>
      <w:r>
        <w:rPr>
          <w:rFonts w:hint="eastAsia" w:ascii="仿宋_GB2312" w:hAnsi="仿宋" w:eastAsia="仿宋_GB2312" w:cs="仿宋_GB2312"/>
          <w:color w:val="000000"/>
          <w:sz w:val="32"/>
          <w:szCs w:val="32"/>
        </w:rPr>
        <w:t>表，罗列全部功能分类科目至项级。上述“预算”口径为调整预算数。增减变动原因为决算数</w:t>
      </w:r>
      <w:r>
        <w:rPr>
          <w:rFonts w:ascii="仿宋_GB2312" w:hAnsi="仿宋" w:eastAsia="仿宋_GB2312" w:cs="仿宋_GB2312"/>
          <w:color w:val="000000"/>
          <w:sz w:val="32"/>
          <w:szCs w:val="32"/>
        </w:rPr>
        <w:t>&lt;</w:t>
      </w:r>
      <w:r>
        <w:rPr>
          <w:rFonts w:hint="eastAsia" w:ascii="仿宋_GB2312" w:hAnsi="仿宋" w:eastAsia="仿宋_GB2312" w:cs="仿宋_GB2312"/>
          <w:color w:val="000000"/>
          <w:sz w:val="32"/>
          <w:szCs w:val="32"/>
        </w:rPr>
        <w:t>项级</w:t>
      </w:r>
      <w:r>
        <w:rPr>
          <w:rFonts w:ascii="仿宋_GB2312" w:hAnsi="仿宋" w:eastAsia="仿宋_GB2312" w:cs="仿宋_GB2312"/>
          <w:color w:val="000000"/>
          <w:sz w:val="32"/>
          <w:szCs w:val="32"/>
        </w:rPr>
        <w:t>&gt;</w:t>
      </w:r>
      <w:r>
        <w:rPr>
          <w:rFonts w:hint="eastAsia" w:ascii="仿宋_GB2312" w:hAnsi="仿宋" w:eastAsia="仿宋_GB2312" w:cs="仿宋_GB2312"/>
          <w:color w:val="000000"/>
          <w:sz w:val="32"/>
          <w:szCs w:val="32"/>
        </w:rPr>
        <w:t>和调整预算数</w:t>
      </w:r>
      <w:r>
        <w:rPr>
          <w:rFonts w:ascii="仿宋_GB2312" w:hAnsi="仿宋" w:eastAsia="仿宋_GB2312" w:cs="仿宋_GB2312"/>
          <w:color w:val="000000"/>
          <w:sz w:val="32"/>
          <w:szCs w:val="32"/>
        </w:rPr>
        <w:t>&lt;</w:t>
      </w:r>
      <w:r>
        <w:rPr>
          <w:rFonts w:hint="eastAsia" w:ascii="仿宋_GB2312" w:hAnsi="仿宋" w:eastAsia="仿宋_GB2312" w:cs="仿宋_GB2312"/>
          <w:color w:val="000000"/>
          <w:sz w:val="32"/>
          <w:szCs w:val="32"/>
        </w:rPr>
        <w:t>项级</w:t>
      </w:r>
      <w:r>
        <w:rPr>
          <w:rFonts w:ascii="仿宋_GB2312" w:hAnsi="仿宋" w:eastAsia="仿宋_GB2312" w:cs="仿宋_GB2312"/>
          <w:color w:val="000000"/>
          <w:sz w:val="32"/>
          <w:szCs w:val="32"/>
        </w:rPr>
        <w:t>&gt;</w:t>
      </w:r>
      <w:r>
        <w:rPr>
          <w:rFonts w:hint="eastAsia" w:ascii="仿宋_GB2312" w:hAnsi="仿宋" w:eastAsia="仿宋_GB2312" w:cs="仿宋_GB2312"/>
          <w:color w:val="000000"/>
          <w:sz w:val="32"/>
          <w:szCs w:val="32"/>
        </w:rPr>
        <w:t>比较，与预算数持平可以不写原因。）</w:t>
      </w:r>
    </w:p>
    <w:p>
      <w:pPr>
        <w:adjustRightInd w:val="0"/>
        <w:snapToGrid w:val="0"/>
        <w:spacing w:line="620" w:lineRule="exact"/>
        <w:ind w:firstLine="640" w:firstLineChars="200"/>
        <w:rPr>
          <w:rFonts w:ascii="仿宋_GB2312" w:hAnsi="仿宋" w:eastAsia="仿宋_GB2312"/>
          <w:color w:val="000000"/>
          <w:sz w:val="32"/>
          <w:szCs w:val="32"/>
        </w:rPr>
      </w:pPr>
      <w:r>
        <w:rPr>
          <w:rFonts w:ascii="仿宋_GB2312" w:eastAsia="仿宋_GB2312" w:cs="仿宋_GB2312"/>
          <w:color w:val="000000"/>
          <w:sz w:val="32"/>
          <w:szCs w:val="32"/>
        </w:rPr>
        <w:t>1.</w:t>
      </w:r>
      <w:r>
        <w:rPr>
          <w:rFonts w:ascii="仿宋_GB2312" w:hAnsi="仿宋" w:eastAsia="仿宋_GB2312"/>
          <w:color w:val="000000"/>
          <w:sz w:val="32"/>
          <w:szCs w:val="32"/>
        </w:rPr>
        <w:t xml:space="preserve"> </w:t>
      </w:r>
      <w:r>
        <w:rPr>
          <w:rFonts w:hint="eastAsia" w:ascii="仿宋_GB2312" w:eastAsia="仿宋_GB2312" w:cs="仿宋_GB2312"/>
          <w:color w:val="000000"/>
          <w:sz w:val="32"/>
          <w:szCs w:val="32"/>
        </w:rPr>
        <w:t>一般公共服务支出（类）</w:t>
      </w:r>
      <w:r>
        <w:rPr>
          <w:rFonts w:hint="eastAsia" w:ascii="仿宋_GB2312" w:hAnsi="仿宋" w:eastAsia="仿宋_GB2312" w:cs="仿宋_GB2312"/>
          <w:color w:val="000000"/>
          <w:sz w:val="32"/>
          <w:szCs w:val="32"/>
        </w:rPr>
        <w:t>人力资源事务</w:t>
      </w:r>
      <w:r>
        <w:rPr>
          <w:rFonts w:hint="eastAsia" w:ascii="仿宋_GB2312" w:eastAsia="仿宋_GB2312" w:cs="仿宋_GB2312"/>
          <w:sz w:val="32"/>
          <w:szCs w:val="32"/>
        </w:rPr>
        <w:t>（款）</w:t>
      </w:r>
      <w:r>
        <w:rPr>
          <w:rFonts w:hint="eastAsia" w:ascii="仿宋_GB2312" w:hAnsi="仿宋" w:eastAsia="仿宋_GB2312" w:cs="仿宋_GB2312"/>
          <w:color w:val="000000"/>
          <w:sz w:val="32"/>
          <w:szCs w:val="32"/>
        </w:rPr>
        <w:t>其他人力资源事务支出（</w:t>
      </w:r>
      <w:r>
        <w:rPr>
          <w:rFonts w:hint="eastAsia" w:ascii="仿宋_GB2312"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2011099</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9年决算数为140万元，完成预算100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w:t>
      </w:r>
    </w:p>
    <w:p>
      <w:pPr>
        <w:adjustRightInd w:val="0"/>
        <w:snapToGrid w:val="0"/>
        <w:spacing w:line="620" w:lineRule="exact"/>
        <w:ind w:firstLine="640" w:firstLineChars="200"/>
        <w:rPr>
          <w:rFonts w:ascii="仿宋_GB2312" w:hAnsi="仿宋" w:eastAsia="仿宋_GB2312"/>
          <w:color w:val="000000"/>
          <w:sz w:val="32"/>
          <w:szCs w:val="32"/>
        </w:rPr>
      </w:pPr>
      <w:r>
        <w:rPr>
          <w:rFonts w:ascii="仿宋_GB2312" w:eastAsia="仿宋_GB2312" w:cs="仿宋_GB2312"/>
          <w:color w:val="000000"/>
          <w:sz w:val="32"/>
          <w:szCs w:val="32"/>
        </w:rPr>
        <w:t>2.</w:t>
      </w: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（款）行政运行（项）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9年决算数为674.87万元，完成预算99.89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决算数小于预算数0.71万元，主要原因是年末市人力资源社会保障局基本支出援藏干部补贴结转次年使用；</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一般行政管理事务</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2080102</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年决算数为216.75万元，完成预算81.25</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决算数小于预算数50万元，主要原因是年末市人力资源社会保障局项目支出技能大师工作室补贴结转次年使用；</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劳动保障监察</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2080105</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9年决算数为152.65万元，完成预算99.79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，决算数小于预算数0.32万元，主要原因局属市劳动保障监察支队基本支出账号有误退回，次年重转。</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就业管理事务</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2080106</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9年决算数为444.21万元，完成预算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0</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，决算数大于预算数0.08万元，主要原因局属单位市就业局用年初结转结余支付；</w:t>
      </w:r>
    </w:p>
    <w:p>
      <w:pPr>
        <w:adjustRightInd w:val="0"/>
        <w:snapToGrid w:val="0"/>
        <w:spacing w:line="6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信息化建设</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w:t>
      </w:r>
      <w:r>
        <w:rPr>
          <w:rFonts w:hint="eastAsia" w:ascii="仿宋_GB2312" w:hAnsi="仿宋" w:eastAsia="仿宋_GB2312" w:cs="仿宋_GB2312"/>
          <w:color w:val="000000"/>
          <w:sz w:val="32"/>
          <w:szCs w:val="32"/>
        </w:rPr>
        <w:t>8）</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9年决算数为339.21万元，完成预算100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社会保险经办机构</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2080109</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9年决算数为688.36万元，完成预算99.93</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，决算数小于预算数0.31万元，主要原因局属市社保局年末项目拨款结转结余次年使用；</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劳动关系与维权</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2080110</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9年决算数165.02万元，完成预算98.59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，决算数小于预算数2.35万元，主要原因局属市劳动人事争议仲裁院基本支出0.32万元账号有误退回，次年重转、市农民工服务中心项目支出2.03万元结转次年使用；</w:t>
      </w:r>
    </w:p>
    <w:p>
      <w:pPr>
        <w:adjustRightInd w:val="0"/>
        <w:snapToGrid w:val="0"/>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公共职业技能和职业技能鉴定机构</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2080111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9年决算数为15万元，完成预算150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，决算数大于预算数</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万元，属市农民工服务中心</w:t>
      </w:r>
      <w:r>
        <w:rPr>
          <w:rFonts w:hint="eastAsia"/>
          <w:color w:val="000000"/>
          <w:sz w:val="32"/>
          <w:szCs w:val="32"/>
        </w:rPr>
        <w:t>使用2018</w:t>
      </w:r>
      <w:r>
        <w:rPr>
          <w:rFonts w:hint="eastAsia" w:ascii="仿宋_GB2312" w:hAnsi="仿宋" w:eastAsia="仿宋_GB2312" w:cs="仿宋_GB2312"/>
          <w:color w:val="000000"/>
          <w:sz w:val="32"/>
          <w:szCs w:val="32"/>
        </w:rPr>
        <w:t>返乡下乡创业暨加强农民工服务保障工作年初结转；</w:t>
      </w:r>
    </w:p>
    <w:p>
      <w:pPr>
        <w:adjustRightInd w:val="0"/>
        <w:snapToGrid w:val="0"/>
        <w:spacing w:line="6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其他人力资源和社会保险管理事务支出</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2080199</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9年决算数为296.82万元，完成预算93.77</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，决算数小于预算数19.72万元，主要原因局属市人力资源社会保障局、市社保局、市劳动保障监察支队，因财政拨入社保工作专项经费时间较迟结转至</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rPr>
        <w:t>20年财政应返还额度年初项目结转结余。</w:t>
      </w:r>
      <w:r>
        <w:rPr>
          <w:rFonts w:ascii="仿宋_GB2312" w:hAnsi="仿宋" w:eastAsia="仿宋_GB2312" w:cs="仿宋_GB2312"/>
          <w:color w:val="000000"/>
          <w:sz w:val="32"/>
          <w:szCs w:val="32"/>
        </w:rPr>
        <w:t xml:space="preserve">   </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w:t>
      </w:r>
      <w:r>
        <w:rPr>
          <w:rFonts w:hint="eastAsia" w:ascii="仿宋_GB2312" w:hAnsi="仿宋" w:eastAsia="仿宋_GB2312" w:cs="仿宋_GB2312"/>
          <w:color w:val="000000"/>
          <w:sz w:val="32"/>
          <w:szCs w:val="32"/>
        </w:rPr>
        <w:t>（类）行政事业单位离退休</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款</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未归口管理的行政单位离退休</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2080504</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9年决算数为19.74万元，完成预算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sz w:val="32"/>
          <w:szCs w:val="32"/>
        </w:rPr>
        <w:t>社会保障和就业支出</w:t>
      </w:r>
      <w:r>
        <w:rPr>
          <w:rFonts w:hint="eastAsia" w:ascii="仿宋_GB2312" w:hAnsi="仿宋" w:eastAsia="仿宋_GB2312" w:cs="仿宋_GB2312"/>
          <w:color w:val="000000"/>
          <w:sz w:val="32"/>
          <w:szCs w:val="32"/>
        </w:rPr>
        <w:t>（类）行政事业单位离退休</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款</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机关事业单位基本养老保险缴费支出</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2080505</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9年决算数为169.51万元</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按预算进度执行好；</w:t>
      </w:r>
    </w:p>
    <w:p>
      <w:pPr>
        <w:spacing w:line="600" w:lineRule="exact"/>
        <w:ind w:firstLine="640"/>
        <w:rPr>
          <w:rFonts w:ascii="仿宋_GB2312" w:hAnsi="仿宋" w:eastAsia="仿宋_GB2312" w:cs="仿宋_GB2312"/>
          <w:color w:val="000000"/>
          <w:sz w:val="32"/>
          <w:szCs w:val="32"/>
        </w:rPr>
      </w:pPr>
      <w:r>
        <w:rPr>
          <w:rFonts w:hint="eastAsia" w:ascii="仿宋_GB2312" w:hAnsi="仿宋" w:eastAsia="仿宋_GB2312" w:cs="仿宋_GB2312"/>
          <w:sz w:val="32"/>
          <w:szCs w:val="32"/>
        </w:rPr>
        <w:t>社会保障和就业支出</w:t>
      </w:r>
      <w:r>
        <w:rPr>
          <w:rFonts w:hint="eastAsia" w:ascii="仿宋_GB2312" w:hAnsi="仿宋" w:eastAsia="仿宋_GB2312" w:cs="仿宋_GB2312"/>
          <w:color w:val="000000"/>
          <w:sz w:val="32"/>
          <w:szCs w:val="32"/>
        </w:rPr>
        <w:t>（类）行政事业单位离退休</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款</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其他行政事业单位离退休支出</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2080599</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92万元，完成预算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w:t>
      </w:r>
    </w:p>
    <w:p>
      <w:pPr>
        <w:adjustRightInd w:val="0"/>
        <w:snapToGrid w:val="0"/>
        <w:spacing w:line="620" w:lineRule="exact"/>
        <w:ind w:firstLine="640" w:firstLineChars="200"/>
        <w:rPr>
          <w:rFonts w:ascii="仿宋" w:hAnsi="仿宋" w:eastAsia="仿宋"/>
          <w:color w:val="000000"/>
          <w:sz w:val="32"/>
          <w:szCs w:val="32"/>
        </w:rPr>
      </w:pPr>
      <w:r>
        <w:rPr>
          <w:rFonts w:hint="eastAsia" w:ascii="仿宋_GB2312" w:hAnsi="仿宋" w:eastAsia="仿宋_GB2312" w:cs="仿宋_GB2312"/>
          <w:sz w:val="32"/>
          <w:szCs w:val="32"/>
        </w:rPr>
        <w:t>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其他就业补助支出</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（2080799）</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9年决算数为182.89万元，完成预算81.27</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，决算数小于预算数42.16万元，市就业局</w:t>
      </w:r>
      <w:r>
        <w:rPr>
          <w:rFonts w:ascii="仿宋" w:hAnsi="仿宋" w:eastAsia="仿宋"/>
          <w:sz w:val="32"/>
          <w:szCs w:val="32"/>
        </w:rPr>
        <w:t>2019年年末结转结余42.16万元，是市创新创业孵化中心运营费，是由于2019年末人社局和财政局还未对孵化中心全年的工作考核验收完，只拨付了30%，等验收合格后才拨付剩余的70%</w:t>
      </w:r>
      <w:r>
        <w:rPr>
          <w:rFonts w:hint="eastAsia" w:ascii="仿宋" w:hAnsi="仿宋" w:eastAsia="仿宋" w:cs="仿宋_GB2312"/>
          <w:color w:val="000000"/>
          <w:sz w:val="32"/>
          <w:szCs w:val="32"/>
        </w:rPr>
        <w:t>；</w:t>
      </w:r>
    </w:p>
    <w:p>
      <w:pPr>
        <w:spacing w:line="600" w:lineRule="exact"/>
        <w:ind w:firstLine="640"/>
        <w:rPr>
          <w:rFonts w:ascii="仿宋_GB2312" w:hAnsi="仿宋" w:eastAsia="仿宋_GB2312" w:cs="仿宋_GB2312"/>
          <w:color w:val="000000"/>
          <w:sz w:val="32"/>
          <w:szCs w:val="32"/>
        </w:rPr>
      </w:pPr>
      <w:r>
        <w:rPr>
          <w:rFonts w:hint="eastAsia" w:ascii="仿宋_GB2312" w:hAnsi="仿宋" w:eastAsia="仿宋_GB2312" w:cs="仿宋_GB2312"/>
          <w:sz w:val="32"/>
          <w:szCs w:val="32"/>
        </w:rPr>
        <w:t>社会保障和就业支出</w:t>
      </w:r>
      <w:r>
        <w:rPr>
          <w:rFonts w:hint="eastAsia" w:ascii="仿宋_GB2312" w:hAnsi="仿宋" w:eastAsia="仿宋_GB2312" w:cs="仿宋_GB2312"/>
          <w:color w:val="000000"/>
          <w:sz w:val="32"/>
          <w:szCs w:val="32"/>
        </w:rPr>
        <w:t>（类）抚恤</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款</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死亡抚恤</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2080599</w:t>
      </w:r>
      <w:r>
        <w:rPr>
          <w:rFonts w:hint="eastAsia" w:ascii="仿宋_GB2312" w:hAnsi="仿宋" w:eastAsia="仿宋_GB2312" w:cs="仿宋_GB2312"/>
          <w:color w:val="000000"/>
          <w:sz w:val="32"/>
          <w:szCs w:val="32"/>
        </w:rPr>
        <w:t>）</w:t>
      </w:r>
      <w:r>
        <w:rPr>
          <w:rFonts w:ascii="仿宋_GB2312" w:eastAsia="仿宋_GB2312" w:cs="仿宋_GB2312"/>
          <w:color w:val="000000"/>
          <w:sz w:val="32"/>
          <w:szCs w:val="32"/>
        </w:rPr>
        <w:t>:</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9年决算数为55.85万元，完成预算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w:t>
      </w:r>
    </w:p>
    <w:p>
      <w:pPr>
        <w:spacing w:line="60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其他社会保障和就业支出（类）</w:t>
      </w:r>
      <w:r>
        <w:rPr>
          <w:rFonts w:hint="eastAsia" w:ascii="仿宋_GB2312" w:hAnsi="仿宋" w:eastAsia="仿宋_GB2312" w:cs="仿宋_GB2312"/>
          <w:color w:val="000000"/>
          <w:sz w:val="32"/>
          <w:szCs w:val="32"/>
        </w:rPr>
        <w:t>人力资源和社会保障管理事务</w:t>
      </w:r>
      <w:r>
        <w:rPr>
          <w:rFonts w:hint="eastAsia" w:ascii="仿宋_GB2312" w:hAnsi="仿宋" w:eastAsia="仿宋_GB2312" w:cs="仿宋_GB2312"/>
          <w:sz w:val="32"/>
          <w:szCs w:val="32"/>
        </w:rPr>
        <w:t>（款）</w:t>
      </w:r>
      <w:r>
        <w:rPr>
          <w:rFonts w:hint="eastAsia" w:ascii="仿宋_GB2312" w:hAnsi="仿宋" w:eastAsia="仿宋_GB2312" w:cs="仿宋_GB2312"/>
          <w:color w:val="000000"/>
          <w:sz w:val="32"/>
          <w:szCs w:val="32"/>
        </w:rPr>
        <w:t>其他就业补助支出</w:t>
      </w:r>
      <w:r>
        <w:rPr>
          <w:rFonts w:hint="eastAsia" w:ascii="仿宋_GB2312" w:hAnsi="仿宋" w:eastAsia="仿宋_GB2312" w:cs="仿宋_GB2312"/>
          <w:sz w:val="32"/>
          <w:szCs w:val="32"/>
        </w:rPr>
        <w:t>（项）</w:t>
      </w:r>
      <w:r>
        <w:rPr>
          <w:rFonts w:hint="eastAsia" w:ascii="仿宋_GB2312" w:hAnsi="仿宋" w:eastAsia="仿宋_GB2312" w:cs="仿宋_GB2312"/>
          <w:color w:val="000000"/>
          <w:sz w:val="32"/>
          <w:szCs w:val="32"/>
        </w:rPr>
        <w:t>（2080799）</w:t>
      </w: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9年决算数为0万元，完成预算0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，决算数小于预算数16万元，</w:t>
      </w:r>
      <w:r>
        <w:rPr>
          <w:rFonts w:ascii="仿宋" w:hAnsi="仿宋" w:eastAsia="仿宋"/>
          <w:sz w:val="32"/>
          <w:szCs w:val="32"/>
        </w:rPr>
        <w:t>2019年年末</w:t>
      </w:r>
      <w:r>
        <w:rPr>
          <w:rFonts w:hint="eastAsia" w:ascii="仿宋" w:hAnsi="仿宋" w:eastAsia="仿宋"/>
          <w:sz w:val="32"/>
          <w:szCs w:val="32"/>
        </w:rPr>
        <w:t>，市财政局拨付</w:t>
      </w:r>
      <w:r>
        <w:rPr>
          <w:rFonts w:hint="eastAsia" w:ascii="仿宋_GB2312" w:hAnsi="仿宋" w:eastAsia="仿宋_GB2312" w:cs="仿宋_GB2312"/>
          <w:color w:val="000000"/>
          <w:sz w:val="32"/>
          <w:szCs w:val="32"/>
        </w:rPr>
        <w:t>市人力资源社会保障局用于大学生实训基地补助</w:t>
      </w:r>
      <w:r>
        <w:rPr>
          <w:rFonts w:ascii="仿宋" w:hAnsi="仿宋" w:eastAsia="仿宋"/>
          <w:sz w:val="32"/>
          <w:szCs w:val="32"/>
        </w:rPr>
        <w:t>结转</w:t>
      </w:r>
      <w:r>
        <w:rPr>
          <w:rFonts w:hint="eastAsia" w:ascii="仿宋" w:hAnsi="仿宋" w:eastAsia="仿宋"/>
          <w:sz w:val="32"/>
          <w:szCs w:val="32"/>
        </w:rPr>
        <w:t>到次年使用；</w:t>
      </w:r>
    </w:p>
    <w:p>
      <w:pPr>
        <w:adjustRightInd w:val="0"/>
        <w:snapToGrid w:val="0"/>
        <w:spacing w:line="620" w:lineRule="exact"/>
        <w:ind w:firstLine="640" w:firstLineChars="200"/>
        <w:rPr>
          <w:rFonts w:ascii="仿宋" w:hAnsi="仿宋" w:eastAsia="仿宋"/>
          <w:sz w:val="32"/>
          <w:szCs w:val="32"/>
        </w:rPr>
      </w:pPr>
      <w:r>
        <w:rPr>
          <w:rStyle w:val="18"/>
          <w:rFonts w:ascii="仿宋_GB2312" w:hAnsi="仿宋_GB2312" w:eastAsia="仿宋_GB2312" w:cs="仿宋_GB2312"/>
          <w:b w:val="0"/>
          <w:bCs w:val="0"/>
          <w:color w:val="000000"/>
          <w:sz w:val="32"/>
          <w:szCs w:val="32"/>
        </w:rPr>
        <w:t>3.</w:t>
      </w:r>
      <w:r>
        <w:rPr>
          <w:rStyle w:val="18"/>
          <w:rFonts w:hint="eastAsia" w:ascii="仿宋_GB2312" w:hAnsi="仿宋_GB2312" w:eastAsia="仿宋_GB2312" w:cs="仿宋_GB2312"/>
          <w:b w:val="0"/>
          <w:bCs w:val="0"/>
          <w:color w:val="000000"/>
          <w:sz w:val="32"/>
          <w:szCs w:val="32"/>
        </w:rPr>
        <w:t>医疗卫生与计划生育支出（类）</w:t>
      </w:r>
      <w:r>
        <w:rPr>
          <w:rFonts w:hint="eastAsia" w:ascii="仿宋_GB2312" w:hAnsi="仿宋_GB2312" w:eastAsia="仿宋_GB2312" w:cs="仿宋_GB2312"/>
          <w:color w:val="000000"/>
          <w:sz w:val="32"/>
          <w:szCs w:val="32"/>
        </w:rPr>
        <w:t>行政事业单位医疗</w:t>
      </w:r>
      <w:r>
        <w:rPr>
          <w:rStyle w:val="18"/>
          <w:rFonts w:hint="eastAsia" w:ascii="仿宋_GB2312" w:hAnsi="仿宋_GB2312" w:eastAsia="仿宋_GB2312" w:cs="仿宋_GB2312"/>
          <w:b w:val="0"/>
          <w:bCs w:val="0"/>
          <w:color w:val="000000"/>
          <w:sz w:val="32"/>
          <w:szCs w:val="32"/>
        </w:rPr>
        <w:t>（款）</w:t>
      </w:r>
      <w:r>
        <w:rPr>
          <w:rFonts w:hint="eastAsia" w:ascii="仿宋_GB2312" w:hAnsi="仿宋_GB2312" w:eastAsia="仿宋_GB2312" w:cs="仿宋_GB2312"/>
          <w:color w:val="000000"/>
          <w:sz w:val="32"/>
          <w:szCs w:val="32"/>
        </w:rPr>
        <w:t>行政单位医疗</w:t>
      </w:r>
      <w:r>
        <w:rPr>
          <w:rStyle w:val="18"/>
          <w:rFonts w:hint="eastAsia" w:ascii="仿宋_GB2312" w:hAnsi="仿宋_GB2312" w:eastAsia="仿宋_GB2312" w:cs="仿宋_GB2312"/>
          <w:b w:val="0"/>
          <w:bCs w:val="0"/>
          <w:color w:val="000000"/>
          <w:sz w:val="32"/>
          <w:szCs w:val="32"/>
        </w:rPr>
        <w:t>（项）</w:t>
      </w:r>
      <w:r>
        <w:rPr>
          <w:rFonts w:hint="eastAsia" w:ascii="仿宋" w:hAnsi="仿宋" w:eastAsia="仿宋" w:cs="仿宋"/>
          <w:sz w:val="32"/>
          <w:szCs w:val="32"/>
        </w:rPr>
        <w:t>（</w:t>
      </w:r>
      <w:r>
        <w:rPr>
          <w:rFonts w:ascii="仿宋" w:hAnsi="仿宋" w:eastAsia="仿宋" w:cs="仿宋"/>
          <w:sz w:val="32"/>
          <w:szCs w:val="32"/>
        </w:rPr>
        <w:t>2100501</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9年决算数为84.27万元，完成预算</w:t>
      </w:r>
      <w:r>
        <w:rPr>
          <w:rFonts w:ascii="仿宋" w:hAnsi="仿宋" w:eastAsia="仿宋" w:cs="仿宋"/>
          <w:sz w:val="32"/>
          <w:szCs w:val="32"/>
        </w:rPr>
        <w:t>100%</w:t>
      </w:r>
      <w:r>
        <w:rPr>
          <w:rFonts w:hint="eastAsia" w:ascii="仿宋" w:hAnsi="仿宋" w:eastAsia="仿宋" w:cs="仿宋"/>
          <w:sz w:val="32"/>
          <w:szCs w:val="32"/>
        </w:rPr>
        <w:t>；</w:t>
      </w:r>
      <w:r>
        <w:rPr>
          <w:rStyle w:val="18"/>
          <w:rFonts w:ascii="仿宋_GB2312" w:hAnsi="仿宋_GB2312" w:eastAsia="仿宋_GB2312" w:cs="仿宋_GB2312"/>
          <w:b w:val="0"/>
          <w:bCs w:val="0"/>
          <w:color w:val="000000"/>
          <w:sz w:val="32"/>
          <w:szCs w:val="32"/>
        </w:rPr>
        <w:t>:</w:t>
      </w:r>
    </w:p>
    <w:p>
      <w:pPr>
        <w:adjustRightInd w:val="0"/>
        <w:snapToGrid w:val="0"/>
        <w:spacing w:line="620" w:lineRule="exact"/>
        <w:ind w:firstLine="640" w:firstLineChars="200"/>
        <w:rPr>
          <w:rFonts w:ascii="仿宋" w:hAnsi="仿宋" w:eastAsia="仿宋"/>
          <w:sz w:val="32"/>
          <w:szCs w:val="32"/>
        </w:rPr>
      </w:pPr>
      <w:r>
        <w:rPr>
          <w:rStyle w:val="18"/>
          <w:rFonts w:hint="eastAsia" w:ascii="仿宋_GB2312" w:hAnsi="仿宋_GB2312" w:eastAsia="仿宋_GB2312" w:cs="仿宋_GB2312"/>
          <w:b w:val="0"/>
          <w:bCs w:val="0"/>
          <w:color w:val="000000"/>
          <w:sz w:val="32"/>
          <w:szCs w:val="32"/>
        </w:rPr>
        <w:t>医疗卫生与计划生育支出（类）</w:t>
      </w:r>
      <w:r>
        <w:rPr>
          <w:rFonts w:hint="eastAsia" w:ascii="仿宋_GB2312" w:hAnsi="仿宋_GB2312" w:eastAsia="仿宋_GB2312" w:cs="仿宋_GB2312"/>
          <w:color w:val="000000"/>
          <w:sz w:val="32"/>
          <w:szCs w:val="32"/>
        </w:rPr>
        <w:t>行政事业单位医疗</w:t>
      </w:r>
      <w:r>
        <w:rPr>
          <w:rStyle w:val="18"/>
          <w:rFonts w:hint="eastAsia" w:ascii="仿宋_GB2312" w:hAnsi="仿宋_GB2312" w:eastAsia="仿宋_GB2312" w:cs="仿宋_GB2312"/>
          <w:b w:val="0"/>
          <w:bCs w:val="0"/>
          <w:color w:val="000000"/>
          <w:sz w:val="32"/>
          <w:szCs w:val="32"/>
        </w:rPr>
        <w:t>（款）</w:t>
      </w:r>
      <w:r>
        <w:rPr>
          <w:rFonts w:hint="eastAsia" w:ascii="仿宋" w:hAnsi="仿宋" w:eastAsia="仿宋" w:cs="仿宋"/>
          <w:sz w:val="32"/>
          <w:szCs w:val="32"/>
        </w:rPr>
        <w:t>事业单位医疗</w:t>
      </w:r>
      <w:r>
        <w:rPr>
          <w:rStyle w:val="18"/>
          <w:rFonts w:hint="eastAsia" w:ascii="仿宋_GB2312" w:hAnsi="仿宋_GB2312" w:eastAsia="仿宋_GB2312" w:cs="仿宋_GB2312"/>
          <w:b w:val="0"/>
          <w:bCs w:val="0"/>
          <w:color w:val="000000"/>
          <w:sz w:val="32"/>
          <w:szCs w:val="32"/>
        </w:rPr>
        <w:t>（项）</w:t>
      </w:r>
      <w:r>
        <w:rPr>
          <w:rFonts w:hint="eastAsia" w:ascii="仿宋" w:hAnsi="仿宋" w:eastAsia="仿宋" w:cs="仿宋"/>
          <w:sz w:val="32"/>
          <w:szCs w:val="32"/>
        </w:rPr>
        <w:t>（</w:t>
      </w:r>
      <w:r>
        <w:rPr>
          <w:rFonts w:ascii="仿宋" w:hAnsi="仿宋" w:eastAsia="仿宋" w:cs="仿宋"/>
          <w:sz w:val="32"/>
          <w:szCs w:val="32"/>
        </w:rPr>
        <w:t>2100502</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9年决算数为15.37万元，完成预算</w:t>
      </w:r>
      <w:r>
        <w:rPr>
          <w:rFonts w:ascii="仿宋" w:hAnsi="仿宋" w:eastAsia="仿宋" w:cs="仿宋"/>
          <w:sz w:val="32"/>
          <w:szCs w:val="32"/>
        </w:rPr>
        <w:t>100%</w:t>
      </w:r>
      <w:r>
        <w:rPr>
          <w:rFonts w:hint="eastAsia" w:ascii="仿宋" w:hAnsi="仿宋" w:eastAsia="仿宋" w:cs="仿宋"/>
          <w:sz w:val="32"/>
          <w:szCs w:val="32"/>
        </w:rPr>
        <w:t>。</w:t>
      </w:r>
    </w:p>
    <w:p>
      <w:pPr>
        <w:adjustRightInd w:val="0"/>
        <w:snapToGrid w:val="0"/>
        <w:spacing w:line="620" w:lineRule="exact"/>
        <w:ind w:firstLine="640" w:firstLineChars="200"/>
        <w:rPr>
          <w:rFonts w:ascii="仿宋" w:hAnsi="仿宋" w:eastAsia="仿宋"/>
          <w:sz w:val="32"/>
          <w:szCs w:val="32"/>
        </w:rPr>
      </w:pPr>
      <w:r>
        <w:rPr>
          <w:rStyle w:val="18"/>
          <w:rFonts w:hint="eastAsia" w:ascii="仿宋_GB2312" w:hAnsi="仿宋_GB2312" w:eastAsia="仿宋_GB2312" w:cs="仿宋_GB2312"/>
          <w:b w:val="0"/>
          <w:bCs w:val="0"/>
          <w:color w:val="000000"/>
          <w:sz w:val="32"/>
          <w:szCs w:val="32"/>
        </w:rPr>
        <w:t>医疗卫生与计划生育支出（类）</w:t>
      </w:r>
      <w:r>
        <w:rPr>
          <w:rFonts w:hint="eastAsia" w:ascii="仿宋_GB2312" w:hAnsi="仿宋_GB2312" w:eastAsia="仿宋_GB2312" w:cs="仿宋_GB2312"/>
          <w:color w:val="000000"/>
          <w:sz w:val="32"/>
          <w:szCs w:val="32"/>
        </w:rPr>
        <w:t>医疗救助</w:t>
      </w:r>
      <w:r>
        <w:rPr>
          <w:rStyle w:val="18"/>
          <w:rFonts w:hint="eastAsia" w:ascii="仿宋_GB2312" w:hAnsi="仿宋_GB2312" w:eastAsia="仿宋_GB2312" w:cs="仿宋_GB2312"/>
          <w:b w:val="0"/>
          <w:bCs w:val="0"/>
          <w:color w:val="000000"/>
          <w:sz w:val="32"/>
          <w:szCs w:val="32"/>
        </w:rPr>
        <w:t>（款）</w:t>
      </w:r>
      <w:r>
        <w:rPr>
          <w:rFonts w:hint="eastAsia" w:ascii="仿宋_GB2312" w:hAnsi="仿宋_GB2312" w:eastAsia="仿宋_GB2312" w:cs="仿宋_GB2312"/>
          <w:color w:val="000000"/>
          <w:sz w:val="32"/>
          <w:szCs w:val="32"/>
        </w:rPr>
        <w:t>其他医疗救助支出</w:t>
      </w:r>
      <w:r>
        <w:rPr>
          <w:rStyle w:val="18"/>
          <w:rFonts w:hint="eastAsia" w:ascii="仿宋_GB2312" w:hAnsi="仿宋_GB2312" w:eastAsia="仿宋_GB2312" w:cs="仿宋_GB2312"/>
          <w:b w:val="0"/>
          <w:bCs w:val="0"/>
          <w:color w:val="000000"/>
          <w:sz w:val="32"/>
          <w:szCs w:val="32"/>
        </w:rPr>
        <w:t>（项）（</w:t>
      </w:r>
      <w:r>
        <w:rPr>
          <w:rStyle w:val="18"/>
          <w:rFonts w:ascii="仿宋_GB2312" w:hAnsi="仿宋_GB2312" w:eastAsia="仿宋_GB2312" w:cs="仿宋_GB2312"/>
          <w:b w:val="0"/>
          <w:bCs w:val="0"/>
          <w:color w:val="000000"/>
          <w:sz w:val="32"/>
          <w:szCs w:val="32"/>
        </w:rPr>
        <w:t>2101399</w:t>
      </w:r>
      <w:r>
        <w:rPr>
          <w:rStyle w:val="18"/>
          <w:rFonts w:hint="eastAsia" w:ascii="仿宋_GB2312" w:hAnsi="仿宋_GB2312" w:eastAsia="仿宋_GB2312" w:cs="仿宋_GB2312"/>
          <w:b w:val="0"/>
          <w:bCs w:val="0"/>
          <w:color w:val="000000"/>
          <w:sz w:val="32"/>
          <w:szCs w:val="32"/>
        </w:rPr>
        <w:t>）</w:t>
      </w:r>
      <w:r>
        <w:rPr>
          <w:rStyle w:val="18"/>
          <w:rFonts w:ascii="仿宋_GB2312" w:hAnsi="仿宋_GB2312" w:eastAsia="仿宋_GB2312" w:cs="仿宋_GB2312"/>
          <w:b w:val="0"/>
          <w:bCs w:val="0"/>
          <w:color w:val="000000"/>
          <w:sz w:val="32"/>
          <w:szCs w:val="32"/>
        </w:rPr>
        <w:t>201</w:t>
      </w:r>
      <w:r>
        <w:rPr>
          <w:rStyle w:val="18"/>
          <w:rFonts w:hint="eastAsia" w:ascii="仿宋_GB2312" w:hAnsi="仿宋_GB2312" w:eastAsia="仿宋_GB2312" w:cs="仿宋_GB2312"/>
          <w:b w:val="0"/>
          <w:bCs w:val="0"/>
          <w:color w:val="000000"/>
          <w:sz w:val="32"/>
          <w:szCs w:val="32"/>
        </w:rPr>
        <w:t>9年决算数为2.51万元，完成预算100</w:t>
      </w:r>
      <w:r>
        <w:rPr>
          <w:rStyle w:val="18"/>
          <w:rFonts w:ascii="仿宋_GB2312" w:hAnsi="仿宋_GB2312" w:eastAsia="仿宋_GB2312" w:cs="仿宋_GB2312"/>
          <w:b w:val="0"/>
          <w:bCs w:val="0"/>
          <w:color w:val="000000"/>
          <w:sz w:val="32"/>
          <w:szCs w:val="32"/>
        </w:rPr>
        <w:t>%</w:t>
      </w:r>
      <w:r>
        <w:rPr>
          <w:rStyle w:val="18"/>
          <w:rFonts w:hint="eastAsia" w:ascii="仿宋_GB2312" w:hAnsi="仿宋_GB2312" w:eastAsia="仿宋_GB2312" w:cs="仿宋_GB2312"/>
          <w:b w:val="0"/>
          <w:bCs w:val="0"/>
          <w:color w:val="000000"/>
          <w:sz w:val="32"/>
          <w:szCs w:val="32"/>
        </w:rPr>
        <w:t>，属个人医疗救助，财政拨付时间较晚，次年使用。</w:t>
      </w:r>
    </w:p>
    <w:p>
      <w:pPr>
        <w:spacing w:line="580" w:lineRule="exact"/>
        <w:ind w:firstLine="624" w:firstLineChars="195"/>
        <w:rPr>
          <w:rFonts w:ascii="仿宋_GB2312" w:hAnsi="仿宋_GB2312" w:eastAsia="仿宋_GB2312" w:cs="仿宋_GB2312"/>
          <w:color w:val="000000"/>
          <w:sz w:val="32"/>
          <w:szCs w:val="32"/>
        </w:rPr>
      </w:pPr>
      <w:r>
        <w:rPr>
          <w:rStyle w:val="18"/>
          <w:rFonts w:ascii="仿宋" w:hAnsi="仿宋" w:eastAsia="仿宋" w:cs="仿宋"/>
          <w:b w:val="0"/>
          <w:bCs w:val="0"/>
          <w:sz w:val="32"/>
          <w:szCs w:val="32"/>
        </w:rPr>
        <w:t>4.</w:t>
      </w:r>
      <w:r>
        <w:rPr>
          <w:rFonts w:hint="eastAsia" w:ascii="仿宋_GB2312" w:hAnsi="仿宋_GB2312" w:eastAsia="仿宋_GB2312" w:cs="仿宋_GB2312"/>
          <w:color w:val="000000"/>
          <w:sz w:val="32"/>
          <w:szCs w:val="32"/>
        </w:rPr>
        <w:t>住房保障支出</w:t>
      </w:r>
      <w:r>
        <w:rPr>
          <w:rStyle w:val="18"/>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color w:val="000000"/>
          <w:sz w:val="32"/>
          <w:szCs w:val="32"/>
        </w:rPr>
        <w:t>住房改革支出</w:t>
      </w:r>
      <w:r>
        <w:rPr>
          <w:rStyle w:val="18"/>
          <w:rFonts w:hint="eastAsia" w:ascii="仿宋_GB2312" w:hAnsi="仿宋_GB2312" w:eastAsia="仿宋_GB2312" w:cs="仿宋_GB2312"/>
          <w:b w:val="0"/>
          <w:bCs w:val="0"/>
          <w:color w:val="000000"/>
          <w:sz w:val="32"/>
          <w:szCs w:val="32"/>
        </w:rPr>
        <w:t>（款）</w:t>
      </w:r>
      <w:r>
        <w:rPr>
          <w:rFonts w:hint="eastAsia" w:ascii="仿宋_GB2312" w:hAnsi="仿宋_GB2312" w:eastAsia="仿宋_GB2312" w:cs="仿宋_GB2312"/>
          <w:color w:val="000000"/>
          <w:sz w:val="32"/>
          <w:szCs w:val="32"/>
        </w:rPr>
        <w:t>住房公积金</w:t>
      </w:r>
      <w:r>
        <w:rPr>
          <w:rStyle w:val="18"/>
          <w:rFonts w:hint="eastAsia" w:ascii="仿宋_GB2312" w:hAnsi="仿宋_GB2312" w:eastAsia="仿宋_GB2312" w:cs="仿宋_GB2312"/>
          <w:b w:val="0"/>
          <w:bCs w:val="0"/>
          <w:color w:val="000000"/>
          <w:sz w:val="32"/>
          <w:szCs w:val="32"/>
        </w:rPr>
        <w:t>（项）（</w:t>
      </w:r>
      <w:r>
        <w:rPr>
          <w:rStyle w:val="18"/>
          <w:rFonts w:ascii="仿宋_GB2312" w:hAnsi="仿宋_GB2312" w:eastAsia="仿宋_GB2312" w:cs="仿宋_GB2312"/>
          <w:b w:val="0"/>
          <w:bCs w:val="0"/>
          <w:color w:val="000000"/>
          <w:sz w:val="32"/>
          <w:szCs w:val="32"/>
        </w:rPr>
        <w:t>2210201</w:t>
      </w:r>
      <w:r>
        <w:rPr>
          <w:rStyle w:val="18"/>
          <w:rFonts w:hint="eastAsia" w:ascii="仿宋_GB2312" w:hAnsi="仿宋_GB2312" w:eastAsia="仿宋_GB2312" w:cs="仿宋_GB2312"/>
          <w:b w:val="0"/>
          <w:bCs w:val="0"/>
          <w:color w:val="000000"/>
          <w:sz w:val="32"/>
          <w:szCs w:val="32"/>
        </w:rPr>
        <w:t>）</w:t>
      </w:r>
      <w:r>
        <w:rPr>
          <w:rStyle w:val="18"/>
          <w:rFonts w:ascii="仿宋_GB2312" w:hAnsi="仿宋_GB2312" w:eastAsia="仿宋_GB2312" w:cs="仿宋_GB2312"/>
          <w:b w:val="0"/>
          <w:bCs w:val="0"/>
          <w:color w:val="00000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19年决算数为209.39万元，完成预算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bookmarkStart w:id="27" w:name="_Toc15377214"/>
      <w:bookmarkStart w:id="28" w:name="_Toc15396608"/>
    </w:p>
    <w:p>
      <w:pPr>
        <w:spacing w:line="580" w:lineRule="exact"/>
        <w:ind w:firstLine="624" w:firstLineChars="195"/>
        <w:rPr>
          <w:rFonts w:ascii="仿宋_GB2312" w:hAnsi="仿宋_GB2312" w:eastAsia="仿宋_GB2312" w:cs="仿宋_GB2312"/>
          <w:color w:val="000000"/>
          <w:sz w:val="32"/>
          <w:szCs w:val="32"/>
        </w:rPr>
      </w:pPr>
      <w:r>
        <w:rPr>
          <w:rStyle w:val="18"/>
          <w:rFonts w:hint="eastAsia" w:ascii="仿宋" w:hAnsi="仿宋" w:eastAsia="仿宋" w:cs="仿宋"/>
          <w:b w:val="0"/>
          <w:bCs w:val="0"/>
          <w:sz w:val="32"/>
          <w:szCs w:val="32"/>
        </w:rPr>
        <w:t>5</w:t>
      </w:r>
      <w:r>
        <w:rPr>
          <w:rStyle w:val="18"/>
          <w:rFonts w:ascii="仿宋" w:hAnsi="仿宋" w:eastAsia="仿宋" w:cs="仿宋"/>
          <w:b w:val="0"/>
          <w:bCs w:val="0"/>
          <w:sz w:val="32"/>
          <w:szCs w:val="32"/>
        </w:rPr>
        <w:t>.</w:t>
      </w:r>
      <w:r>
        <w:rPr>
          <w:rFonts w:hint="eastAsia" w:ascii="仿宋_GB2312" w:hAnsi="仿宋_GB2312" w:eastAsia="仿宋_GB2312" w:cs="仿宋_GB2312"/>
          <w:color w:val="000000"/>
          <w:sz w:val="32"/>
          <w:szCs w:val="32"/>
        </w:rPr>
        <w:t>其他支出</w:t>
      </w:r>
      <w:r>
        <w:rPr>
          <w:rStyle w:val="18"/>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color w:val="000000"/>
          <w:sz w:val="32"/>
          <w:szCs w:val="32"/>
        </w:rPr>
        <w:t>其他支出</w:t>
      </w:r>
      <w:r>
        <w:rPr>
          <w:rStyle w:val="18"/>
          <w:rFonts w:hint="eastAsia" w:ascii="仿宋_GB2312" w:hAnsi="仿宋_GB2312" w:eastAsia="仿宋_GB2312" w:cs="仿宋_GB2312"/>
          <w:b w:val="0"/>
          <w:bCs w:val="0"/>
          <w:color w:val="000000"/>
          <w:sz w:val="32"/>
          <w:szCs w:val="32"/>
        </w:rPr>
        <w:t>（款）</w:t>
      </w:r>
      <w:r>
        <w:rPr>
          <w:rFonts w:hint="eastAsia" w:ascii="仿宋_GB2312" w:hAnsi="仿宋_GB2312" w:eastAsia="仿宋_GB2312" w:cs="仿宋_GB2312"/>
          <w:color w:val="000000"/>
          <w:sz w:val="32"/>
          <w:szCs w:val="32"/>
        </w:rPr>
        <w:t>其他支出</w:t>
      </w:r>
      <w:r>
        <w:rPr>
          <w:rStyle w:val="18"/>
          <w:rFonts w:hint="eastAsia" w:ascii="仿宋_GB2312" w:hAnsi="仿宋_GB2312" w:eastAsia="仿宋_GB2312" w:cs="仿宋_GB2312"/>
          <w:b w:val="0"/>
          <w:bCs w:val="0"/>
          <w:color w:val="000000"/>
          <w:sz w:val="32"/>
          <w:szCs w:val="32"/>
        </w:rPr>
        <w:t>（项）（</w:t>
      </w:r>
      <w:r>
        <w:rPr>
          <w:rStyle w:val="18"/>
          <w:rFonts w:ascii="仿宋_GB2312" w:hAnsi="仿宋_GB2312" w:eastAsia="仿宋_GB2312" w:cs="仿宋_GB2312"/>
          <w:b w:val="0"/>
          <w:bCs w:val="0"/>
          <w:color w:val="000000"/>
          <w:sz w:val="32"/>
          <w:szCs w:val="32"/>
        </w:rPr>
        <w:t>2210201</w:t>
      </w:r>
      <w:r>
        <w:rPr>
          <w:rStyle w:val="18"/>
          <w:rFonts w:hint="eastAsia" w:ascii="仿宋_GB2312" w:hAnsi="仿宋_GB2312" w:eastAsia="仿宋_GB2312" w:cs="仿宋_GB2312"/>
          <w:b w:val="0"/>
          <w:bCs w:val="0"/>
          <w:color w:val="000000"/>
          <w:sz w:val="32"/>
          <w:szCs w:val="32"/>
        </w:rPr>
        <w:t>）</w:t>
      </w:r>
      <w:r>
        <w:rPr>
          <w:rStyle w:val="18"/>
          <w:rFonts w:ascii="仿宋_GB2312" w:hAnsi="仿宋_GB2312" w:eastAsia="仿宋_GB2312" w:cs="仿宋_GB2312"/>
          <w:b w:val="0"/>
          <w:bCs w:val="0"/>
          <w:color w:val="000000"/>
          <w:sz w:val="32"/>
          <w:szCs w:val="32"/>
        </w:rPr>
        <w:t>:</w:t>
      </w: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rPr>
        <w:t>9年决算数为0.13万元，完成预算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580" w:lineRule="exact"/>
        <w:ind w:firstLine="624" w:firstLineChars="195"/>
        <w:rPr>
          <w:rStyle w:val="23"/>
          <w:rFonts w:ascii="黑体" w:hAnsi="黑体" w:eastAsia="黑体" w:cs="Times New Roman"/>
          <w:b w:val="0"/>
          <w:bCs w:val="0"/>
        </w:rPr>
      </w:pPr>
      <w:r>
        <w:rPr>
          <w:rFonts w:hint="eastAsia" w:ascii="黑体" w:eastAsia="黑体" w:cs="黑体"/>
          <w:color w:val="000000"/>
          <w:sz w:val="32"/>
          <w:szCs w:val="32"/>
        </w:rPr>
        <w:t>六、</w:t>
      </w:r>
      <w:r>
        <w:rPr>
          <w:rFonts w:hint="eastAsia" w:ascii="黑体" w:hAnsi="黑体" w:eastAsia="黑体" w:cs="黑体"/>
          <w:color w:val="000000"/>
          <w:sz w:val="32"/>
          <w:szCs w:val="32"/>
        </w:rPr>
        <w:t>一</w:t>
      </w:r>
      <w:r>
        <w:rPr>
          <w:rStyle w:val="23"/>
          <w:rFonts w:hint="eastAsia" w:ascii="黑体" w:hAnsi="黑体" w:eastAsia="黑体" w:cs="黑体"/>
          <w:b w:val="0"/>
          <w:bCs w:val="0"/>
        </w:rPr>
        <w:t>般公共预算财政拨款基本支出决算情况说明</w:t>
      </w:r>
      <w:bookmarkEnd w:id="27"/>
      <w:bookmarkEnd w:id="28"/>
    </w:p>
    <w:p>
      <w:pPr>
        <w:spacing w:line="580" w:lineRule="exact"/>
        <w:ind w:firstLine="624" w:firstLineChars="195"/>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9年一般公共预算财政拨款基本支出2799.77万元，其中：</w:t>
      </w:r>
    </w:p>
    <w:p>
      <w:pPr>
        <w:spacing w:line="580" w:lineRule="exact"/>
        <w:ind w:firstLine="624" w:firstLineChars="195"/>
        <w:rPr>
          <w:rFonts w:ascii="仿宋_GB2312" w:hAnsi="仿宋" w:eastAsia="仿宋_GB2312"/>
          <w:color w:val="000000"/>
          <w:sz w:val="32"/>
          <w:szCs w:val="32"/>
        </w:rPr>
      </w:pPr>
      <w:r>
        <w:rPr>
          <w:rFonts w:hint="eastAsia" w:ascii="仿宋_GB2312" w:hAnsi="仿宋" w:eastAsia="仿宋_GB2312" w:cs="仿宋_GB2312"/>
          <w:color w:val="000000"/>
          <w:sz w:val="32"/>
          <w:szCs w:val="32"/>
        </w:rPr>
        <w:t>人员经费2446.49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580" w:lineRule="exact"/>
        <w:ind w:firstLine="624" w:firstLineChars="195"/>
        <w:rPr>
          <w:rFonts w:ascii="仿宋_GB2312" w:hAnsi="仿宋" w:eastAsia="仿宋_GB2312"/>
          <w:color w:val="000000"/>
          <w:sz w:val="32"/>
          <w:szCs w:val="32"/>
        </w:rPr>
      </w:pPr>
      <w:r>
        <w:rPr>
          <w:rFonts w:hint="eastAsia" w:ascii="仿宋_GB2312" w:hAnsi="仿宋" w:eastAsia="仿宋_GB2312" w:cs="仿宋_GB2312"/>
          <w:color w:val="000000"/>
          <w:sz w:val="32"/>
          <w:szCs w:val="32"/>
        </w:rPr>
        <w:t>日常公用经费333.28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29" w:name="_Toc15396609"/>
      <w:bookmarkStart w:id="30" w:name="_Toc15377215"/>
    </w:p>
    <w:p>
      <w:pPr>
        <w:spacing w:line="580" w:lineRule="exact"/>
        <w:ind w:firstLine="624" w:firstLineChars="195"/>
        <w:rPr>
          <w:rStyle w:val="23"/>
          <w:rFonts w:ascii="黑体" w:hAnsi="黑体" w:eastAsia="黑体" w:cs="Times New Roman"/>
          <w:b w:val="0"/>
          <w:bCs w:val="0"/>
        </w:rPr>
      </w:pPr>
      <w:r>
        <w:rPr>
          <w:rFonts w:hint="eastAsia" w:ascii="黑体" w:eastAsia="黑体" w:cs="黑体"/>
          <w:color w:val="000000"/>
          <w:sz w:val="32"/>
          <w:szCs w:val="32"/>
        </w:rPr>
        <w:t>七、</w:t>
      </w:r>
      <w:r>
        <w:rPr>
          <w:rStyle w:val="23"/>
          <w:rFonts w:hint="eastAsia" w:ascii="黑体" w:hAnsi="黑体" w:eastAsia="黑体" w:cs="黑体"/>
          <w:b w:val="0"/>
          <w:bCs w:val="0"/>
        </w:rPr>
        <w:t>“三公”经费财政拨款支出决算情况说明</w:t>
      </w:r>
      <w:bookmarkEnd w:id="29"/>
      <w:bookmarkEnd w:id="30"/>
      <w:bookmarkStart w:id="31" w:name="_Toc15377216"/>
    </w:p>
    <w:p>
      <w:pPr>
        <w:spacing w:line="580" w:lineRule="exact"/>
        <w:ind w:firstLine="626" w:firstLineChars="195"/>
        <w:rPr>
          <w:rFonts w:ascii="楷体_GB2312" w:hAnsi="仿宋" w:eastAsia="楷体_GB2312"/>
          <w:b/>
          <w:bCs/>
          <w:color w:val="000000"/>
          <w:sz w:val="32"/>
          <w:szCs w:val="32"/>
        </w:rPr>
      </w:pPr>
      <w:r>
        <w:rPr>
          <w:rFonts w:hint="eastAsia" w:ascii="楷体_GB2312" w:hAnsi="仿宋" w:eastAsia="楷体_GB2312" w:cs="楷体_GB2312"/>
          <w:b/>
          <w:bCs/>
          <w:color w:val="000000"/>
          <w:sz w:val="32"/>
          <w:szCs w:val="32"/>
        </w:rPr>
        <w:t>（一）“三公”经费财政拨款支出决算总体情况说明</w:t>
      </w:r>
      <w:bookmarkEnd w:id="31"/>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9年“三公”经费财政拨款支出决算为21.96万元，完成预算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，预算数持平。</w:t>
      </w:r>
    </w:p>
    <w:p>
      <w:pPr>
        <w:spacing w:line="600" w:lineRule="exact"/>
        <w:ind w:firstLine="640"/>
        <w:outlineLvl w:val="2"/>
        <w:rPr>
          <w:rFonts w:ascii="楷体_GB2312" w:hAnsi="仿宋" w:eastAsia="楷体_GB2312"/>
          <w:b/>
          <w:bCs/>
          <w:color w:val="000000"/>
          <w:sz w:val="32"/>
          <w:szCs w:val="32"/>
        </w:rPr>
      </w:pPr>
      <w:bookmarkStart w:id="32" w:name="_Toc15377217"/>
      <w:r>
        <w:rPr>
          <w:rFonts w:hint="eastAsia" w:ascii="楷体_GB2312" w:hAnsi="仿宋" w:eastAsia="楷体_GB2312" w:cs="楷体_GB2312"/>
          <w:b/>
          <w:bCs/>
          <w:color w:val="000000"/>
          <w:sz w:val="32"/>
          <w:szCs w:val="32"/>
        </w:rPr>
        <w:t>（二）“三公”经费财政拨款支出决算具体情况说明</w:t>
      </w:r>
      <w:bookmarkEnd w:id="32"/>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w:t>
      </w:r>
      <w:r>
        <w:rPr>
          <w:rFonts w:hint="eastAsia" w:ascii="仿宋_GB2312" w:hAnsi="仿宋" w:eastAsia="仿宋_GB2312" w:cs="仿宋_GB2312"/>
          <w:color w:val="000000"/>
          <w:sz w:val="32"/>
          <w:szCs w:val="32"/>
        </w:rPr>
        <w:t>9年“三公”经费财政拨款支出决算中，因公出国（境）费支出决算5万元，占22.77</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；公务用车购置及运行维护费支出决算11.88万元，占54.09</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；公务接待费支出决算5.08万元，占23.14</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20" w:lineRule="exact"/>
        <w:ind w:firstLine="640"/>
        <w:rPr>
          <w:rFonts w:ascii="仿宋_GB2312" w:hAnsi="仿宋" w:eastAsia="仿宋_GB2312" w:cs="仿宋_GB2312"/>
          <w:color w:val="000000"/>
          <w:sz w:val="32"/>
          <w:szCs w:val="32"/>
        </w:rPr>
      </w:pPr>
    </w:p>
    <w:p>
      <w:pPr>
        <w:spacing w:line="620" w:lineRule="exact"/>
        <w:ind w:firstLine="640"/>
        <w:rPr>
          <w:rFonts w:ascii="仿宋_GB2312" w:hAnsi="仿宋" w:eastAsia="仿宋_GB2312" w:cs="仿宋_GB2312"/>
          <w:color w:val="000000"/>
          <w:sz w:val="32"/>
          <w:szCs w:val="32"/>
        </w:rPr>
      </w:pPr>
    </w:p>
    <w:p>
      <w:pPr>
        <w:spacing w:line="620" w:lineRule="exact"/>
        <w:ind w:firstLine="640"/>
        <w:rPr>
          <w:rFonts w:ascii="仿宋_GB2312" w:hAnsi="仿宋" w:eastAsia="仿宋_GB2312" w:cs="仿宋_GB2312"/>
          <w:color w:val="000000"/>
          <w:sz w:val="32"/>
          <w:szCs w:val="32"/>
        </w:rPr>
      </w:pPr>
    </w:p>
    <w:p>
      <w:pPr>
        <w:spacing w:line="620" w:lineRule="exact"/>
        <w:ind w:firstLine="640"/>
        <w:rPr>
          <w:rFonts w:ascii="仿宋_GB2312" w:hAnsi="仿宋" w:eastAsia="仿宋_GB2312" w:cs="仿宋_GB2312"/>
          <w:color w:val="000000"/>
          <w:sz w:val="32"/>
          <w:szCs w:val="32"/>
        </w:rPr>
      </w:pPr>
    </w:p>
    <w:p>
      <w:pPr>
        <w:spacing w:line="620" w:lineRule="exact"/>
        <w:ind w:firstLine="640"/>
        <w:rPr>
          <w:rFonts w:ascii="仿宋_GB2312" w:hAnsi="仿宋" w:eastAsia="仿宋_GB2312" w:cs="仿宋_GB2312"/>
          <w:color w:val="000000"/>
          <w:sz w:val="32"/>
          <w:szCs w:val="32"/>
        </w:rPr>
      </w:pPr>
    </w:p>
    <w:p>
      <w:pPr>
        <w:spacing w:line="620" w:lineRule="exact"/>
        <w:ind w:firstLine="640"/>
        <w:rPr>
          <w:rFonts w:ascii="仿宋_GB2312" w:hAnsi="仿宋"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426085</wp:posOffset>
            </wp:positionH>
            <wp:positionV relativeFrom="paragraph">
              <wp:posOffset>-2427605</wp:posOffset>
            </wp:positionV>
            <wp:extent cx="4572635" cy="2746375"/>
            <wp:effectExtent l="4445" t="4445" r="13970" b="1143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20" w:lineRule="exact"/>
        <w:ind w:firstLine="64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：“三公”经费财政拨款支出结构）（饼状图）</w:t>
      </w:r>
    </w:p>
    <w:p>
      <w:pPr>
        <w:spacing w:line="620" w:lineRule="exact"/>
        <w:ind w:firstLine="64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因公出国（境）经费支出5万元，</w:t>
      </w:r>
      <w:r>
        <w:rPr>
          <w:rStyle w:val="18"/>
          <w:rFonts w:hint="eastAsia" w:ascii="仿宋_GB2312" w:hAnsi="仿宋" w:eastAsia="仿宋_GB2312" w:cs="仿宋_GB2312"/>
          <w:b w:val="0"/>
          <w:bCs w:val="0"/>
          <w:color w:val="000000"/>
          <w:sz w:val="32"/>
          <w:szCs w:val="32"/>
        </w:rPr>
        <w:t>完成预算</w:t>
      </w:r>
      <w:r>
        <w:rPr>
          <w:rStyle w:val="18"/>
          <w:rFonts w:ascii="仿宋_GB2312" w:hAnsi="仿宋" w:eastAsia="仿宋_GB2312" w:cs="仿宋_GB2312"/>
          <w:b w:val="0"/>
          <w:bCs w:val="0"/>
          <w:color w:val="000000"/>
          <w:sz w:val="32"/>
          <w:szCs w:val="32"/>
        </w:rPr>
        <w:t>100%</w:t>
      </w:r>
      <w:r>
        <w:rPr>
          <w:rStyle w:val="18"/>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1</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1</w:t>
      </w:r>
      <w:r>
        <w:rPr>
          <w:rFonts w:hint="eastAsia" w:ascii="仿宋_GB2312" w:eastAsia="仿宋_GB2312" w:cs="仿宋_GB2312"/>
          <w:color w:val="000000"/>
          <w:sz w:val="32"/>
          <w:szCs w:val="32"/>
        </w:rPr>
        <w:t>人。因公出国（境）支出决算比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rPr>
        <w:t>8年增加1.09万元，增长27.88</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。主要原因是单位省委、省政府统一安排执行。</w:t>
      </w:r>
    </w:p>
    <w:p>
      <w:pPr>
        <w:spacing w:line="620" w:lineRule="exact"/>
        <w:ind w:firstLine="640" w:firstLineChars="200"/>
        <w:rPr>
          <w:rFonts w:ascii="仿宋_GB2312" w:hAnsi="仿宋" w:eastAsia="仿宋_GB2312"/>
          <w:sz w:val="32"/>
          <w:szCs w:val="32"/>
        </w:rPr>
      </w:pPr>
      <w:r>
        <w:rPr>
          <w:rFonts w:hint="eastAsia" w:ascii="仿宋_GB2312" w:eastAsia="仿宋_GB2312" w:cs="仿宋_GB2312"/>
          <w:color w:val="000000"/>
          <w:sz w:val="32"/>
          <w:szCs w:val="32"/>
        </w:rPr>
        <w:t>开支内容包括：</w:t>
      </w:r>
      <w:r>
        <w:rPr>
          <w:rFonts w:hint="eastAsia" w:ascii="仿宋_GB2312" w:hAnsi="仿宋" w:eastAsia="仿宋_GB2312" w:cs="仿宋_GB2312"/>
          <w:sz w:val="32"/>
          <w:szCs w:val="32"/>
        </w:rPr>
        <w:t>赴美国参加“公务员辞去公职后从业行为规范”培训，学习美国公务员管理制度尤其是离职后从业行为监管措施，结合我省省情和工作实践，细化工作思路和举措，不断完善我省公务员辞职后从业行为规范管理制度措施，更好推进国家政策落地落实。</w:t>
      </w:r>
    </w:p>
    <w:p>
      <w:pPr>
        <w:adjustRightInd w:val="0"/>
        <w:snapToGrid w:val="0"/>
        <w:spacing w:line="620" w:lineRule="exact"/>
        <w:ind w:firstLine="640"/>
        <w:rPr>
          <w:rFonts w:ascii="仿宋_GB2312" w:hAnsi="仿宋"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公务用车购置及运行维护费支出11.88万元</w:t>
      </w:r>
      <w:r>
        <w:rPr>
          <w:rFonts w:ascii="仿宋_GB2312" w:eastAsia="仿宋_GB2312" w:cs="仿宋_GB2312"/>
          <w:color w:val="000000"/>
          <w:sz w:val="32"/>
          <w:szCs w:val="32"/>
        </w:rPr>
        <w:t>,</w:t>
      </w:r>
      <w:r>
        <w:rPr>
          <w:rStyle w:val="18"/>
          <w:rFonts w:hint="eastAsia" w:ascii="仿宋_GB2312" w:hAnsi="仿宋" w:eastAsia="仿宋_GB2312" w:cs="仿宋_GB2312"/>
          <w:b w:val="0"/>
          <w:bCs w:val="0"/>
          <w:color w:val="000000"/>
          <w:sz w:val="32"/>
          <w:szCs w:val="32"/>
        </w:rPr>
        <w:t>完成预算</w:t>
      </w:r>
      <w:r>
        <w:rPr>
          <w:rStyle w:val="18"/>
          <w:rFonts w:ascii="仿宋_GB2312" w:hAnsi="仿宋" w:eastAsia="仿宋_GB2312" w:cs="仿宋_GB2312"/>
          <w:b w:val="0"/>
          <w:bCs w:val="0"/>
          <w:color w:val="000000"/>
          <w:sz w:val="32"/>
          <w:szCs w:val="32"/>
        </w:rPr>
        <w:t>100%</w:t>
      </w:r>
      <w:r>
        <w:rPr>
          <w:rStyle w:val="18"/>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rPr>
        <w:t>8年减少5.52万元，下降31.72</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。主要原因是尽量把相关的检查，开会安排一起，</w:t>
      </w:r>
      <w:r>
        <w:rPr>
          <w:rFonts w:hint="eastAsia" w:ascii="仿宋_GB2312" w:hAnsi="仿宋" w:eastAsia="仿宋_GB2312" w:cs="仿宋_GB2312"/>
          <w:color w:val="000000"/>
          <w:sz w:val="32"/>
          <w:szCs w:val="32"/>
        </w:rPr>
        <w:t>节约开支。</w:t>
      </w:r>
    </w:p>
    <w:p>
      <w:pPr>
        <w:spacing w:line="62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公务用车运行维护费支出11.88万元，</w:t>
      </w:r>
      <w:r>
        <w:rPr>
          <w:rFonts w:hint="eastAsia" w:ascii="仿宋_GB2312" w:hAnsi="仿宋" w:eastAsia="仿宋_GB2312" w:cs="仿宋_GB2312"/>
          <w:sz w:val="32"/>
          <w:szCs w:val="32"/>
        </w:rPr>
        <w:t>主要用于市人力资源社会保障部门，工作所需的公务用车燃料费、维修费、过路过桥费、保险费等支出。</w:t>
      </w:r>
    </w:p>
    <w:p>
      <w:pPr>
        <w:spacing w:line="62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hint="eastAsia" w:ascii="仿宋_GB2312" w:hAnsi="仿宋" w:eastAsia="仿宋_GB2312" w:cs="仿宋_GB2312"/>
          <w:color w:val="000000"/>
          <w:sz w:val="32"/>
          <w:szCs w:val="32"/>
        </w:rPr>
        <w:t>5.08</w:t>
      </w:r>
      <w:r>
        <w:rPr>
          <w:rFonts w:hint="eastAsia" w:ascii="仿宋_GB2312" w:eastAsia="仿宋_GB2312" w:cs="仿宋_GB2312"/>
          <w:color w:val="000000"/>
          <w:sz w:val="32"/>
          <w:szCs w:val="32"/>
        </w:rPr>
        <w:t>万元，</w:t>
      </w:r>
      <w:r>
        <w:rPr>
          <w:rStyle w:val="18"/>
          <w:rFonts w:hint="eastAsia" w:ascii="仿宋_GB2312" w:hAnsi="仿宋" w:eastAsia="仿宋_GB2312" w:cs="仿宋_GB2312"/>
          <w:b w:val="0"/>
          <w:bCs w:val="0"/>
          <w:color w:val="000000"/>
          <w:sz w:val="32"/>
          <w:szCs w:val="32"/>
        </w:rPr>
        <w:t>完成预算100</w:t>
      </w:r>
      <w:r>
        <w:rPr>
          <w:rStyle w:val="18"/>
          <w:rFonts w:ascii="仿宋_GB2312" w:hAnsi="仿宋" w:eastAsia="仿宋_GB2312" w:cs="仿宋_GB2312"/>
          <w:b w:val="0"/>
          <w:bCs w:val="0"/>
          <w:color w:val="000000"/>
          <w:sz w:val="32"/>
          <w:szCs w:val="32"/>
        </w:rPr>
        <w:t>%</w:t>
      </w:r>
      <w:r>
        <w:rPr>
          <w:rStyle w:val="18"/>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rPr>
        <w:t>8年减少3.79万元，下降42.73</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。主要原因是严格执行八项规定，2019年机构划转市医保局、市军培中心两个单位职能职责整体划转，造成公务接待大幅度下降。</w:t>
      </w:r>
    </w:p>
    <w:p>
      <w:pPr>
        <w:adjustRightInd w:val="0"/>
        <w:snapToGrid w:val="0"/>
        <w:spacing w:line="620" w:lineRule="exact"/>
        <w:ind w:firstLine="640" w:firstLineChars="200"/>
        <w:jc w:val="center"/>
        <w:rPr>
          <w:rFonts w:ascii="仿宋_GB2312" w:hAnsi="仿宋" w:eastAsia="仿宋_GB2312"/>
          <w:sz w:val="32"/>
          <w:szCs w:val="32"/>
        </w:rPr>
      </w:pPr>
      <w:r>
        <w:rPr>
          <w:rFonts w:hint="eastAsia" w:ascii="仿宋_GB2312" w:eastAsia="仿宋_GB2312" w:cs="仿宋_GB2312"/>
          <w:color w:val="000000"/>
          <w:sz w:val="32"/>
          <w:szCs w:val="32"/>
        </w:rPr>
        <w:t>主要用于执行公务、开展业务活动开支的交通费、住宿费、用餐费等。国内公务接待</w:t>
      </w:r>
      <w:r>
        <w:rPr>
          <w:rFonts w:hint="eastAsia" w:ascii="仿宋" w:hAnsi="仿宋" w:eastAsia="仿宋"/>
          <w:color w:val="000000"/>
          <w:sz w:val="32"/>
          <w:szCs w:val="32"/>
        </w:rPr>
        <w:t>86批次、698人次</w:t>
      </w:r>
      <w:r>
        <w:rPr>
          <w:rFonts w:hint="eastAsia" w:ascii="仿宋_GB2312" w:eastAsia="仿宋_GB2312" w:cs="仿宋_GB2312"/>
          <w:color w:val="000000"/>
          <w:sz w:val="32"/>
          <w:szCs w:val="32"/>
        </w:rPr>
        <w:t>（不包括陪同人员），共计支出5.08万元，具体内容包括：</w:t>
      </w:r>
      <w:r>
        <w:rPr>
          <w:rFonts w:hint="eastAsia" w:ascii="仿宋_GB2312" w:hAnsi="仿宋" w:eastAsia="仿宋_GB2312" w:cs="仿宋_GB2312"/>
          <w:sz w:val="32"/>
          <w:szCs w:val="32"/>
        </w:rPr>
        <w:t>部、省领导来我市检查、指导工作、各地市州业务单位相互学习调研及区县来市局汇报工作。</w:t>
      </w:r>
    </w:p>
    <w:p>
      <w:pPr>
        <w:spacing w:line="620" w:lineRule="exact"/>
        <w:ind w:firstLine="640"/>
        <w:outlineLvl w:val="1"/>
        <w:rPr>
          <w:rStyle w:val="23"/>
          <w:rFonts w:ascii="黑体" w:hAnsi="黑体" w:eastAsia="黑体" w:cs="Times New Roman"/>
          <w:b w:val="0"/>
          <w:bCs w:val="0"/>
        </w:rPr>
      </w:pPr>
      <w:bookmarkStart w:id="33" w:name="_Toc15377218"/>
      <w:bookmarkStart w:id="34" w:name="_Toc15396610"/>
      <w:r>
        <w:rPr>
          <w:rFonts w:hint="eastAsia" w:ascii="黑体" w:eastAsia="黑体" w:cs="黑体"/>
          <w:color w:val="000000"/>
          <w:sz w:val="32"/>
          <w:szCs w:val="32"/>
        </w:rPr>
        <w:t>八、</w:t>
      </w:r>
      <w:r>
        <w:rPr>
          <w:rStyle w:val="23"/>
          <w:rFonts w:hint="eastAsia" w:ascii="黑体" w:hAnsi="黑体" w:eastAsia="黑体" w:cs="黑体"/>
          <w:b w:val="0"/>
          <w:bCs w:val="0"/>
        </w:rPr>
        <w:t>政府性基金预算支出决算情况说明</w:t>
      </w:r>
      <w:bookmarkEnd w:id="33"/>
      <w:bookmarkEnd w:id="34"/>
    </w:p>
    <w:p>
      <w:pPr>
        <w:spacing w:line="620" w:lineRule="exact"/>
        <w:ind w:firstLine="64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9年政府性基金预算拨款支出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numPr>
          <w:ilvl w:val="0"/>
          <w:numId w:val="1"/>
        </w:numPr>
        <w:spacing w:line="620" w:lineRule="exact"/>
        <w:ind w:firstLine="640"/>
        <w:outlineLvl w:val="1"/>
        <w:rPr>
          <w:rStyle w:val="23"/>
          <w:rFonts w:ascii="黑体" w:hAnsi="黑体" w:eastAsia="黑体" w:cs="Times New Roman"/>
          <w:b w:val="0"/>
          <w:bCs w:val="0"/>
        </w:rPr>
      </w:pPr>
      <w:bookmarkStart w:id="35" w:name="_Toc15377219"/>
      <w:bookmarkStart w:id="36" w:name="_Toc15396611"/>
      <w:r>
        <w:rPr>
          <w:rStyle w:val="23"/>
          <w:rFonts w:hint="eastAsia" w:ascii="黑体" w:hAnsi="黑体" w:eastAsia="黑体" w:cs="黑体"/>
          <w:b w:val="0"/>
          <w:bCs w:val="0"/>
        </w:rPr>
        <w:t>国有资本经营预算支出决算情况说明</w:t>
      </w:r>
      <w:bookmarkEnd w:id="35"/>
      <w:bookmarkEnd w:id="36"/>
    </w:p>
    <w:p>
      <w:pPr>
        <w:spacing w:line="620" w:lineRule="exact"/>
        <w:ind w:firstLine="64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outlineLvl w:val="1"/>
        <w:rPr>
          <w:rStyle w:val="23"/>
          <w:rFonts w:ascii="黑体" w:hAnsi="黑体" w:eastAsia="黑体"/>
        </w:rPr>
      </w:pPr>
      <w:r>
        <w:rPr>
          <w:rFonts w:hint="eastAsia" w:ascii="黑体" w:hAnsi="黑体" w:eastAsia="黑体"/>
          <w:color w:val="000000"/>
          <w:sz w:val="32"/>
          <w:szCs w:val="32"/>
        </w:rPr>
        <w:t xml:space="preserve">    十</w:t>
      </w:r>
      <w:r>
        <w:rPr>
          <w:rStyle w:val="23"/>
          <w:rFonts w:hint="eastAsia" w:ascii="黑体" w:hAnsi="黑体" w:eastAsia="黑体"/>
        </w:rPr>
        <w:t>、其他重要事项的情况说明</w:t>
      </w:r>
    </w:p>
    <w:p>
      <w:pPr>
        <w:spacing w:line="600" w:lineRule="exact"/>
        <w:outlineLvl w:val="2"/>
        <w:rPr>
          <w:rFonts w:ascii="仿宋" w:hAnsi="仿宋" w:eastAsia="仿宋"/>
          <w:color w:val="000000"/>
          <w:sz w:val="32"/>
          <w:szCs w:val="32"/>
        </w:rPr>
      </w:pPr>
      <w:r>
        <w:rPr>
          <w:rFonts w:hint="eastAsia" w:ascii="仿宋" w:hAnsi="仿宋" w:eastAsia="仿宋"/>
          <w:b/>
          <w:color w:val="000000"/>
          <w:sz w:val="32"/>
          <w:szCs w:val="32"/>
        </w:rPr>
        <w:t xml:space="preserve">   （一）机关运行经费支出情况</w:t>
      </w:r>
    </w:p>
    <w:p>
      <w:pPr>
        <w:spacing w:line="600" w:lineRule="exact"/>
        <w:ind w:firstLine="640" w:firstLineChars="200"/>
        <w:rPr>
          <w:rFonts w:ascii="仿宋_GB2312" w:eastAsia="仿宋_GB2312" w:cs="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9年，市人力资源和社会保障部门机关运行经费支出329.10万元，比</w:t>
      </w:r>
      <w:r>
        <w:rPr>
          <w:rFonts w:ascii="仿宋_GB2312" w:eastAsia="仿宋_GB2312"/>
          <w:color w:val="000000"/>
          <w:sz w:val="32"/>
          <w:szCs w:val="32"/>
        </w:rPr>
        <w:t>201</w:t>
      </w:r>
      <w:r>
        <w:rPr>
          <w:rFonts w:hint="eastAsia" w:ascii="仿宋_GB2312" w:eastAsia="仿宋_GB2312"/>
          <w:color w:val="000000"/>
          <w:sz w:val="32"/>
          <w:szCs w:val="32"/>
        </w:rPr>
        <w:t>8年减少57.05万元，下降14.77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s="仿宋_GB2312"/>
          <w:color w:val="000000"/>
          <w:sz w:val="32"/>
          <w:szCs w:val="32"/>
        </w:rPr>
        <w:t>2019年机构划转市医保局、市军培中心两个单位职能职责整体划转，造成下降。</w:t>
      </w:r>
    </w:p>
    <w:p>
      <w:pPr>
        <w:spacing w:line="600" w:lineRule="exact"/>
        <w:jc w:val="both"/>
        <w:rPr>
          <w:rFonts w:ascii="仿宋" w:hAnsi="仿宋" w:eastAsia="仿宋"/>
          <w:b/>
          <w:color w:val="000000"/>
          <w:sz w:val="32"/>
          <w:szCs w:val="32"/>
        </w:rPr>
      </w:pPr>
      <w:r>
        <w:rPr>
          <w:rFonts w:hint="eastAsia" w:ascii="仿宋" w:hAnsi="仿宋" w:eastAsia="仿宋"/>
          <w:b/>
          <w:color w:val="000000"/>
          <w:sz w:val="32"/>
          <w:szCs w:val="32"/>
        </w:rPr>
        <w:t xml:space="preserve">   （二）政府采购支出情况</w:t>
      </w:r>
    </w:p>
    <w:p>
      <w:pPr>
        <w:spacing w:line="600" w:lineRule="exact"/>
        <w:ind w:firstLine="640" w:firstLineChars="200"/>
        <w:rPr>
          <w:rFonts w:ascii="仿宋_GB2312" w:hAnsi="Times New Roman"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人力资源和社会保障部门政府采购支出总额297.91万元，其中：政府采购货物支出201.11万元、政府采购服务支出96.80万元。主要用于市人力资源和社会保障部门空调、电脑的安置、更换，市就业服务管理局用于</w:t>
      </w:r>
      <w:r>
        <w:rPr>
          <w:rFonts w:ascii="仿宋" w:hAnsi="仿宋" w:eastAsia="仿宋"/>
          <w:sz w:val="32"/>
          <w:szCs w:val="32"/>
        </w:rPr>
        <w:t>公共就业创业服务管理系统V2.0版</w:t>
      </w:r>
      <w:r>
        <w:rPr>
          <w:rFonts w:hint="eastAsia" w:ascii="仿宋" w:hAnsi="仿宋" w:eastAsia="仿宋"/>
          <w:sz w:val="32"/>
          <w:szCs w:val="32"/>
        </w:rPr>
        <w:t>购置</w:t>
      </w:r>
      <w:r>
        <w:rPr>
          <w:rFonts w:hint="eastAsia" w:ascii="仿宋_GB2312" w:eastAsia="仿宋_GB2312"/>
          <w:color w:val="000000"/>
          <w:sz w:val="32"/>
          <w:szCs w:val="32"/>
        </w:rPr>
        <w:t>。授予中小企业合同金额0万元，占政府采购支出总额的0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日，市人力资源和社会保障部门共有车辆4辆，其中：应急保障用车3辆、特种专业技术用车1辆。</w:t>
      </w:r>
    </w:p>
    <w:p>
      <w:pPr>
        <w:autoSpaceDE w:val="0"/>
        <w:autoSpaceDN w:val="0"/>
        <w:adjustRightInd w:val="0"/>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20" w:lineRule="exact"/>
        <w:rPr>
          <w:rFonts w:ascii="仿宋_GB2312" w:hAnsi="仿宋_GB2312" w:eastAsia="仿宋_GB2312"/>
          <w:sz w:val="32"/>
          <w:szCs w:val="32"/>
        </w:rPr>
      </w:pPr>
      <w:r>
        <w:rPr>
          <w:rStyle w:val="23"/>
          <w:rFonts w:hint="eastAsia" w:ascii="黑体" w:hAnsi="黑体" w:eastAsia="黑体" w:cs="黑体"/>
          <w:b w:val="0"/>
          <w:bCs w:val="0"/>
        </w:rPr>
        <w:t xml:space="preserve">    </w:t>
      </w:r>
      <w:r>
        <w:rPr>
          <w:rFonts w:hint="eastAsia" w:ascii="仿宋_GB2312" w:hAnsi="仿宋_GB2312" w:eastAsia="仿宋_GB2312" w:cs="仿宋_GB2312"/>
          <w:sz w:val="32"/>
          <w:szCs w:val="32"/>
        </w:rPr>
        <w:t>根据预算绩效管理要求，本部门在年初预算编制阶段，组织对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个项目开展了绩效目标完成情况梳理填报。</w:t>
      </w:r>
    </w:p>
    <w:p>
      <w:pPr>
        <w:spacing w:line="620" w:lineRule="exact"/>
        <w:ind w:firstLine="598" w:firstLineChars="187"/>
        <w:rPr>
          <w:rFonts w:asci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9年部门整体支出开展绩效自评，从评价情况来看，对照《</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年省级部门整体支出绩效评价体系》，本部门各项指标都较好地达到了相关要求，自评为89分。本部门未组织开展项目支出绩效评价。</w:t>
      </w:r>
    </w:p>
    <w:p>
      <w:pPr>
        <w:spacing w:line="620" w:lineRule="exact"/>
        <w:ind w:firstLine="643" w:firstLineChars="200"/>
        <w:rPr>
          <w:rFonts w:ascii="楷体_GB2312" w:hAnsi="仿宋" w:eastAsia="楷体_GB2312"/>
          <w:b/>
          <w:bCs/>
          <w:sz w:val="32"/>
          <w:szCs w:val="32"/>
        </w:rPr>
      </w:pPr>
      <w:r>
        <w:rPr>
          <w:rFonts w:hint="eastAsia" w:ascii="楷体_GB2312" w:hAnsi="仿宋" w:eastAsia="楷体_GB2312" w:cs="楷体_GB2312"/>
          <w:b/>
          <w:bCs/>
          <w:sz w:val="32"/>
          <w:szCs w:val="32"/>
        </w:rPr>
        <w:t>1.项目绩效目标完成情况。</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9年度部门决算中反映“</w:t>
      </w:r>
      <w:r>
        <w:rPr>
          <w:rFonts w:hint="eastAsia" w:ascii="仿宋" w:hAnsi="仿宋" w:eastAsia="仿宋" w:cs="仿宋"/>
          <w:sz w:val="32"/>
          <w:szCs w:val="32"/>
        </w:rPr>
        <w:t>政策法规宣传”</w:t>
      </w:r>
      <w:r>
        <w:rPr>
          <w:rFonts w:hint="eastAsia" w:ascii="仿宋_GB2312" w:hAnsi="仿宋_GB2312" w:eastAsia="仿宋_GB2312" w:cs="仿宋_GB2312"/>
          <w:sz w:val="32"/>
          <w:szCs w:val="32"/>
        </w:rPr>
        <w:t>、“就业创业工作经费” 、“失业保险工作经费”、“养老金银行代发手续费”、</w:t>
      </w:r>
      <w:r>
        <w:rPr>
          <w:rFonts w:hint="eastAsia" w:ascii="仿宋_GB2312" w:hAnsi="仿宋_GB2312" w:eastAsia="仿宋_GB2312" w:cs="仿宋_GB2312"/>
          <w:i/>
          <w:iCs/>
          <w:sz w:val="32"/>
          <w:szCs w:val="32"/>
        </w:rPr>
        <w:t xml:space="preserve"> </w:t>
      </w:r>
      <w:r>
        <w:rPr>
          <w:rFonts w:hint="eastAsia" w:ascii="仿宋_GB2312" w:hAnsi="仿宋_GB2312" w:eastAsia="仿宋_GB2312" w:cs="仿宋_GB2312"/>
          <w:i/>
          <w:iCs/>
          <w:color w:val="FF0000"/>
          <w:sz w:val="32"/>
          <w:szCs w:val="32"/>
        </w:rPr>
        <w:t>“</w:t>
      </w:r>
      <w:r>
        <w:rPr>
          <w:rFonts w:hint="eastAsia" w:ascii="仿宋_GB2312" w:eastAsia="仿宋_GB2312"/>
          <w:sz w:val="32"/>
          <w:szCs w:val="32"/>
        </w:rPr>
        <w:t>农民工维权与公共服务工作经费</w:t>
      </w:r>
      <w:r>
        <w:rPr>
          <w:rFonts w:hint="eastAsia" w:ascii="仿宋" w:hAnsi="仿宋" w:eastAsia="仿宋" w:cs="仿宋"/>
          <w:sz w:val="32"/>
          <w:szCs w:val="32"/>
        </w:rPr>
        <w:t>”</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个以下的，全部进行公开，公开内容包括完成情况综述和完成情况表）。</w:t>
      </w:r>
    </w:p>
    <w:p>
      <w:pPr>
        <w:spacing w:line="620" w:lineRule="exact"/>
        <w:ind w:firstLine="640" w:firstLineChars="200"/>
        <w:rPr>
          <w:rFonts w:ascii="仿宋_GB2312" w:eastAsia="仿宋_GB2312" w:cs="仿宋_GB2312"/>
          <w:sz w:val="32"/>
          <w:szCs w:val="32"/>
        </w:rPr>
      </w:pPr>
      <w:r>
        <w:rPr>
          <w:rFonts w:hint="eastAsia" w:ascii="仿宋_GB2312" w:hAnsi="仿宋" w:eastAsia="仿宋_GB2312" w:cs="仿宋_GB2312"/>
          <w:sz w:val="32"/>
          <w:szCs w:val="32"/>
        </w:rPr>
        <w:t>（1）遂宁市人力资源社会保障局“政策法规宣传专项经费”项目绩效完成情况综述。</w:t>
      </w:r>
      <w:r>
        <w:rPr>
          <w:rFonts w:hint="eastAsia" w:ascii="仿宋_GB2312" w:hAnsi="仿宋_GB2312" w:eastAsia="仿宋_GB2312" w:cs="仿宋_GB2312"/>
          <w:sz w:val="32"/>
          <w:szCs w:val="32"/>
        </w:rPr>
        <w:t>项目全年预算数5万元，执行数为5万元，完成预算的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eastAsia="仿宋_GB2312" w:cs="仿宋_GB2312"/>
          <w:sz w:val="32"/>
          <w:szCs w:val="32"/>
        </w:rPr>
        <w:t>组织人社宣传紧紧围绕“民生为本，人才优先”工作主线，以“传播人社好声音、讲述人社好故事”为目标，针对社会焦点、工作难点、群众热点问题开展针对性政策法规宣传，提高了人民群众的知情度,促进了人力资源社会保障工作平稳推进。发现问题：部分群众对相关政策法规了解度不够，改进措施：进一步加强宣传力度，提高政策法规的知晓率。</w:t>
      </w:r>
    </w:p>
    <w:p>
      <w:pPr>
        <w:adjustRightInd w:val="0"/>
        <w:snapToGrid w:val="0"/>
        <w:spacing w:line="540" w:lineRule="exact"/>
        <w:ind w:firstLine="672" w:firstLineChars="210"/>
        <w:rPr>
          <w:rFonts w:hint="eastAsia" w:ascii="仿宋" w:hAnsi="仿宋" w:eastAsia="仿宋"/>
          <w:bCs/>
          <w:color w:val="000000"/>
          <w:sz w:val="30"/>
          <w:szCs w:val="30"/>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 w:hAnsi="仿宋" w:eastAsia="仿宋" w:cs="仿宋_GB2312"/>
          <w:sz w:val="32"/>
          <w:szCs w:val="32"/>
        </w:rPr>
        <w:t>遂宁市就业服务管理局“</w:t>
      </w:r>
      <w:r>
        <w:rPr>
          <w:rFonts w:hint="eastAsia" w:ascii="仿宋" w:hAnsi="仿宋" w:eastAsia="仿宋" w:cs="仿宋_GB2312"/>
          <w:color w:val="000000"/>
          <w:sz w:val="32"/>
          <w:szCs w:val="32"/>
        </w:rPr>
        <w:t>就业创业工作经费</w:t>
      </w:r>
      <w:r>
        <w:rPr>
          <w:rFonts w:hint="eastAsia" w:ascii="仿宋" w:hAnsi="仿宋" w:eastAsia="仿宋" w:cs="仿宋_GB2312"/>
          <w:sz w:val="32"/>
          <w:szCs w:val="32"/>
        </w:rPr>
        <w:t>”项目绩效目标完成情况综述。</w:t>
      </w:r>
      <w:r>
        <w:rPr>
          <w:rFonts w:hint="eastAsia" w:ascii="仿宋" w:hAnsi="仿宋" w:eastAsia="仿宋"/>
          <w:sz w:val="32"/>
          <w:szCs w:val="32"/>
        </w:rPr>
        <w:t>项目全年预算数2万元，执行数为2万元，完成预算的100%。通过项目实施，</w:t>
      </w:r>
      <w:r>
        <w:rPr>
          <w:rFonts w:hint="eastAsia" w:ascii="仿宋" w:hAnsi="仿宋" w:eastAsia="仿宋"/>
          <w:spacing w:val="2"/>
          <w:sz w:val="32"/>
          <w:szCs w:val="32"/>
        </w:rPr>
        <w:t>保障全市</w:t>
      </w:r>
      <w:r>
        <w:rPr>
          <w:rFonts w:hint="eastAsia" w:ascii="仿宋" w:hAnsi="仿宋" w:eastAsia="仿宋"/>
          <w:sz w:val="32"/>
          <w:szCs w:val="32"/>
        </w:rPr>
        <w:t>就业形势总体稳定</w:t>
      </w:r>
      <w:r>
        <w:rPr>
          <w:rFonts w:hint="eastAsia" w:ascii="仿宋" w:hAnsi="仿宋" w:eastAsia="仿宋"/>
          <w:b/>
          <w:bCs/>
          <w:sz w:val="32"/>
          <w:szCs w:val="32"/>
        </w:rPr>
        <w:t>,</w:t>
      </w:r>
      <w:r>
        <w:rPr>
          <w:rFonts w:hint="eastAsia" w:ascii="仿宋" w:hAnsi="仿宋" w:eastAsia="仿宋"/>
          <w:sz w:val="32"/>
          <w:szCs w:val="32"/>
        </w:rPr>
        <w:t>就业扶贫政策落地见效:</w:t>
      </w:r>
      <w:r>
        <w:rPr>
          <w:rFonts w:hint="eastAsia" w:ascii="仿宋" w:hAnsi="仿宋" w:eastAsia="仿宋"/>
          <w:spacing w:val="2"/>
          <w:sz w:val="32"/>
          <w:szCs w:val="32"/>
        </w:rPr>
        <w:t>2019年全市城镇新增就业41573人；失业人员实现再就业21912人；就业困难人员实现就业5477人。城镇登记失业率为3.62%；动态消除了零就业家庭。</w:t>
      </w:r>
      <w:r>
        <w:rPr>
          <w:rFonts w:hint="eastAsia" w:ascii="仿宋" w:hAnsi="仿宋" w:eastAsia="仿宋"/>
          <w:sz w:val="32"/>
          <w:szCs w:val="32"/>
        </w:rPr>
        <w:t>全市“9+3”藏区学生170人已全部实现就业，就业率达100%；全市离校未就业高校毕业生实名制登记入库3849人，实现就业3809人，就业比例达到98.99%。</w:t>
      </w:r>
      <w:r>
        <w:rPr>
          <w:rFonts w:hint="eastAsia" w:ascii="仿宋" w:hAnsi="仿宋" w:eastAsia="仿宋"/>
          <w:color w:val="000000"/>
          <w:sz w:val="30"/>
          <w:szCs w:val="30"/>
        </w:rPr>
        <w:t>发现的主要问题：</w:t>
      </w:r>
      <w:r>
        <w:rPr>
          <w:rFonts w:hint="eastAsia" w:ascii="仿宋" w:hAnsi="仿宋" w:eastAsia="仿宋"/>
          <w:bCs/>
          <w:sz w:val="30"/>
          <w:szCs w:val="30"/>
        </w:rPr>
        <w:t>一是就业形势依然严峻；</w:t>
      </w:r>
      <w:r>
        <w:rPr>
          <w:rFonts w:hint="eastAsia" w:ascii="仿宋" w:hAnsi="仿宋" w:eastAsia="仿宋"/>
          <w:bCs/>
          <w:color w:val="000000"/>
          <w:w w:val="98"/>
          <w:sz w:val="30"/>
          <w:szCs w:val="30"/>
        </w:rPr>
        <w:t>二是就业工作进展失衡；</w:t>
      </w:r>
      <w:r>
        <w:rPr>
          <w:rFonts w:hint="eastAsia" w:ascii="仿宋" w:hAnsi="仿宋" w:eastAsia="仿宋"/>
          <w:bCs/>
          <w:color w:val="000000"/>
          <w:sz w:val="30"/>
          <w:szCs w:val="30"/>
        </w:rPr>
        <w:t>三是服务能力尚待提高。下一步改进措施：一是进一步做好就业民生工程工作；二是进一步做好就业扶贫工作；三是进一步做好创新创业工作；四是进一步做好公共服务体系建设工作。</w:t>
      </w:r>
    </w:p>
    <w:p>
      <w:pPr>
        <w:pStyle w:val="14"/>
        <w:widowControl/>
        <w:spacing w:line="576" w:lineRule="exact"/>
        <w:ind w:firstLine="790" w:firstLineChars="247"/>
        <w:jc w:val="both"/>
        <w:rPr>
          <w:rFonts w:ascii="仿宋_GB2312" w:eastAsia="仿宋_GB2312" w:cs="宋体"/>
          <w:bCs/>
          <w:color w:val="000000"/>
          <w:sz w:val="32"/>
          <w:szCs w:val="32"/>
        </w:rPr>
      </w:pPr>
      <w:r>
        <w:rPr>
          <w:rFonts w:ascii="仿宋_GB2312" w:hAnsi="仿宋_GB2312" w:eastAsia="仿宋_GB2312" w:cs="仿宋_GB2312"/>
          <w:sz w:val="32"/>
          <w:szCs w:val="32"/>
        </w:rPr>
        <w:t>（3）遂宁市就业服务管理局“失业保险工作经费”</w:t>
      </w:r>
      <w:r>
        <w:rPr>
          <w:sz w:val="32"/>
          <w:szCs w:val="32"/>
        </w:rPr>
        <w:t xml:space="preserve"> </w:t>
      </w:r>
      <w:r>
        <w:rPr>
          <w:rFonts w:ascii="仿宋_GB2312" w:eastAsia="仿宋_GB2312" w:cs="宋体"/>
          <w:sz w:val="32"/>
          <w:szCs w:val="32"/>
        </w:rPr>
        <w:t>项目全年预算数0.5万元，执行数为0.5万元，完成预算的100%。通过项目实施，继续实施阶段性降费政策，切实减轻企业和职工负担。全年为3.25万人次发放失业保险金4352.65万元，为3.13万人次代缴医疗保险费1185.94万元；为321户企业发放稳岗返还资金1077.67万元，惠及职工4.37万人；为401名人员发放技能提升补贴57.7万元；为42户企业发放阶段性困难企业稳岗补贴资金1870.76万元，惠及职工4900人。</w:t>
      </w:r>
      <w:r>
        <w:rPr>
          <w:rFonts w:ascii="仿宋_GB2312" w:eastAsia="仿宋_GB2312" w:cs="宋体"/>
          <w:color w:val="000000"/>
          <w:sz w:val="32"/>
          <w:szCs w:val="32"/>
        </w:rPr>
        <w:t>发现的主要问题：</w:t>
      </w:r>
      <w:r>
        <w:rPr>
          <w:rFonts w:ascii="仿宋_GB2312" w:eastAsia="仿宋_GB2312" w:cs="宋体"/>
          <w:bCs/>
          <w:sz w:val="32"/>
          <w:szCs w:val="32"/>
        </w:rPr>
        <w:t>一是</w:t>
      </w:r>
      <w:r>
        <w:rPr>
          <w:rFonts w:ascii="仿宋_GB2312" w:eastAsia="仿宋_GB2312" w:cs="宋体"/>
          <w:sz w:val="32"/>
          <w:szCs w:val="32"/>
        </w:rPr>
        <w:t>就业结构性矛盾仍然突出</w:t>
      </w:r>
      <w:r>
        <w:rPr>
          <w:rFonts w:ascii="仿宋_GB2312" w:eastAsia="仿宋_GB2312" w:cs="宋体"/>
          <w:bCs/>
          <w:sz w:val="32"/>
          <w:szCs w:val="32"/>
        </w:rPr>
        <w:t>；</w:t>
      </w:r>
      <w:r>
        <w:rPr>
          <w:rFonts w:ascii="仿宋_GB2312" w:eastAsia="仿宋_GB2312" w:cs="宋体"/>
          <w:bCs/>
          <w:color w:val="000000"/>
          <w:w w:val="98"/>
          <w:sz w:val="32"/>
          <w:szCs w:val="32"/>
        </w:rPr>
        <w:t>二是失业保险惠企政策知晓率不高；</w:t>
      </w:r>
      <w:r>
        <w:rPr>
          <w:rFonts w:ascii="仿宋_GB2312" w:eastAsia="仿宋_GB2312" w:cs="宋体"/>
          <w:bCs/>
          <w:color w:val="000000"/>
          <w:sz w:val="32"/>
          <w:szCs w:val="32"/>
        </w:rPr>
        <w:t>三是服务能力尚待提高。下一步改进措施：一</w:t>
      </w:r>
      <w:r>
        <w:rPr>
          <w:rFonts w:ascii="仿宋_GB2312" w:eastAsia="仿宋_GB2312" w:cs="宋体"/>
          <w:bCs/>
          <w:sz w:val="32"/>
          <w:szCs w:val="32"/>
        </w:rPr>
        <w:t>是进一步做好失业保险惠民政策落实工作；</w:t>
      </w:r>
      <w:r>
        <w:rPr>
          <w:rFonts w:ascii="仿宋_GB2312" w:eastAsia="仿宋_GB2312" w:cs="宋体"/>
          <w:bCs/>
          <w:color w:val="000000"/>
          <w:w w:val="98"/>
          <w:sz w:val="32"/>
          <w:szCs w:val="32"/>
        </w:rPr>
        <w:t>二是</w:t>
      </w:r>
      <w:r>
        <w:rPr>
          <w:rFonts w:ascii="仿宋_GB2312" w:eastAsia="仿宋_GB2312" w:cs="宋体"/>
          <w:bCs/>
          <w:sz w:val="32"/>
          <w:szCs w:val="32"/>
        </w:rPr>
        <w:t>进一步做好失业保险专项补贴整治工作；</w:t>
      </w:r>
      <w:r>
        <w:rPr>
          <w:rFonts w:ascii="仿宋_GB2312" w:eastAsia="仿宋_GB2312" w:cs="宋体"/>
          <w:bCs/>
          <w:color w:val="000000"/>
          <w:sz w:val="32"/>
          <w:szCs w:val="32"/>
        </w:rPr>
        <w:t>三是进一步做好公共服务体系建设工作。</w:t>
      </w:r>
    </w:p>
    <w:p>
      <w:pPr>
        <w:adjustRightInd w:val="0"/>
        <w:snapToGrid w:val="0"/>
        <w:spacing w:line="540" w:lineRule="exact"/>
        <w:ind w:firstLine="672" w:firstLineChars="210"/>
        <w:rPr>
          <w:rFonts w:ascii="仿宋" w:hAnsi="仿宋" w:eastAsia="仿宋"/>
          <w:bCs/>
          <w:color w:val="000000"/>
          <w:sz w:val="30"/>
          <w:szCs w:val="30"/>
        </w:rPr>
      </w:pPr>
      <w:r>
        <w:rPr>
          <w:rFonts w:hint="eastAsia" w:ascii="仿宋_GB2312" w:hAnsi="仿宋_GB2312" w:eastAsia="仿宋_GB2312" w:cs="仿宋_GB2312"/>
          <w:sz w:val="32"/>
          <w:szCs w:val="32"/>
        </w:rPr>
        <w:t>（4）</w:t>
      </w:r>
      <w:r>
        <w:rPr>
          <w:rFonts w:hint="eastAsia" w:ascii="仿宋_GB2312" w:hAnsi="Calibri" w:eastAsia="仿宋_GB2312" w:cs="仿宋_GB2312"/>
          <w:sz w:val="32"/>
          <w:szCs w:val="32"/>
        </w:rPr>
        <w:t>遂宁</w:t>
      </w:r>
      <w:r>
        <w:rPr>
          <w:rFonts w:hint="eastAsia" w:ascii="仿宋_GB2312" w:hAnsi="仿宋_GB2312" w:eastAsia="仿宋_GB2312" w:cs="仿宋_GB2312"/>
          <w:sz w:val="32"/>
          <w:szCs w:val="32"/>
        </w:rPr>
        <w:t>市社会保险事业管理局“养老金银行代发手续费”项目绩效目标完成情况综述。项目全年预算数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。通过项目实施，提升了管理服务水平，确保每月养老金准时发放；维护了参保人员权益，确保离退休人员按时领取养老待遇，为民生保障、社会稳定提供了有力支持。发现的主要问题：</w:t>
      </w:r>
      <w:r>
        <w:rPr>
          <w:rFonts w:hint="eastAsia" w:ascii="仿宋_GB2312" w:hAnsi="仿宋_GB2312" w:eastAsia="仿宋_GB2312" w:cs="仿宋_GB2312"/>
          <w:sz w:val="32"/>
          <w:szCs w:val="32"/>
          <w:lang w:val="zh-CN"/>
        </w:rPr>
        <w:t>随着养老金发放人次的不断增加，发放金额的不断增长，在养老金实际发放过程中所需手续手续费不断增长，专项经费缺口扩大</w:t>
      </w:r>
      <w:r>
        <w:rPr>
          <w:rFonts w:hint="eastAsia" w:ascii="仿宋_GB2312" w:hAnsi="仿宋_GB2312" w:eastAsia="仿宋_GB2312" w:cs="仿宋_GB2312"/>
          <w:sz w:val="32"/>
          <w:szCs w:val="32"/>
        </w:rPr>
        <w:t>。下一步改进措施：提高项目预算的精确性，提高资金批复额度，及时下达相关资金。</w:t>
      </w:r>
    </w:p>
    <w:p>
      <w:r>
        <w:rPr>
          <w:rFonts w:hint="eastAsia" w:ascii="仿宋_GB2312" w:hAnsi="Calibri" w:eastAsia="仿宋_GB2312" w:cs="仿宋_GB2312"/>
          <w:sz w:val="32"/>
          <w:szCs w:val="32"/>
        </w:rPr>
        <w:t xml:space="preserve">    (5)</w:t>
      </w:r>
      <w:r>
        <w:rPr>
          <w:rFonts w:hint="eastAsia" w:ascii="仿宋_GB2312" w:eastAsia="仿宋_GB2312"/>
          <w:sz w:val="32"/>
          <w:szCs w:val="32"/>
        </w:rPr>
        <w:t xml:space="preserve"> 遂宁市农民工服务中心</w:t>
      </w:r>
      <w:r>
        <w:rPr>
          <w:rFonts w:hint="eastAsia"/>
        </w:rPr>
        <w:t>“</w:t>
      </w:r>
      <w:r>
        <w:rPr>
          <w:rFonts w:hint="eastAsia" w:ascii="仿宋_GB2312" w:eastAsia="仿宋_GB2312"/>
          <w:sz w:val="32"/>
          <w:szCs w:val="32"/>
        </w:rPr>
        <w:t>农民工维权与公共服务”项目绩效目标完成情况综述。项目全年预算数3万元，执行数为3万元，完成预算的100%。通过项目实施，使我们的服务能力取得了提升。建立综合服务站，为农民工提供政策咨询、就业创业咨询、解决农民工诉求、收集农民工建议等服务搭建了统一规范的平台。发现的主要问题：项目资金在下半年集中使用。下一步改进措施：在全年均匀开展各项服务保障活动，保证资金及时使用。</w:t>
      </w:r>
      <w:r>
        <w:rPr>
          <w:rFonts w:ascii="仿宋_GB2312" w:hAnsi="仿宋" w:eastAsia="仿宋_GB2312" w:cs="仿宋_GB2312"/>
          <w:sz w:val="32"/>
          <w:szCs w:val="32"/>
        </w:rPr>
        <w:t xml:space="preserve"> </w:t>
      </w:r>
    </w:p>
    <w:tbl>
      <w:tblPr>
        <w:tblStyle w:val="1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561"/>
        <w:gridCol w:w="294"/>
        <w:gridCol w:w="210"/>
        <w:gridCol w:w="630"/>
        <w:gridCol w:w="210"/>
        <w:gridCol w:w="420"/>
        <w:gridCol w:w="457"/>
        <w:gridCol w:w="16"/>
        <w:gridCol w:w="157"/>
        <w:gridCol w:w="105"/>
        <w:gridCol w:w="420"/>
        <w:gridCol w:w="1694"/>
        <w:gridCol w:w="81"/>
        <w:gridCol w:w="2313"/>
        <w:gridCol w:w="33"/>
        <w:gridCol w:w="2233"/>
        <w:gridCol w:w="126"/>
      </w:tblGrid>
      <w:tr>
        <w:tblPrEx>
          <w:tblCellMar>
            <w:top w:w="0" w:type="dxa"/>
            <w:left w:w="0" w:type="dxa"/>
            <w:bottom w:w="0" w:type="dxa"/>
            <w:right w:w="0" w:type="dxa"/>
          </w:tblCellMar>
        </w:tblPrEx>
        <w:trPr>
          <w:gridAfter w:val="1"/>
          <w:wAfter w:w="126" w:type="dxa"/>
          <w:trHeight w:val="1034" w:hRule="atLeast"/>
        </w:trPr>
        <w:tc>
          <w:tcPr>
            <w:tcW w:w="9834" w:type="dxa"/>
            <w:gridSpan w:val="16"/>
            <w:tcMar>
              <w:top w:w="15" w:type="dxa"/>
              <w:left w:w="15" w:type="dxa"/>
              <w:bottom w:w="0" w:type="dxa"/>
              <w:right w:w="15" w:type="dxa"/>
            </w:tcMar>
            <w:vAlign w:val="center"/>
          </w:tcPr>
          <w:p>
            <w:pPr>
              <w:pStyle w:val="32"/>
              <w:ind w:left="4566" w:leftChars="1310" w:hanging="1422" w:hangingChars="395"/>
              <w:textAlignment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rPr>
              <w:t>项目支出绩效目标完成情况表</w:t>
            </w:r>
          </w:p>
          <w:p>
            <w:pPr>
              <w:pStyle w:val="32"/>
              <w:ind w:left="4566" w:leftChars="1310" w:hanging="1422" w:hangingChars="395"/>
              <w:textAlignment w:val="center"/>
              <w:rPr>
                <w:rFonts w:hAnsi="Times New Roman" w:cs="Times New Roman"/>
                <w:color w:val="000000"/>
                <w:kern w:val="2"/>
                <w:sz w:val="36"/>
                <w:szCs w:val="36"/>
              </w:rPr>
            </w:pPr>
            <w:r>
              <w:rPr>
                <w:color w:val="000000"/>
                <w:sz w:val="36"/>
                <w:szCs w:val="36"/>
              </w:rPr>
              <w:t>(201</w:t>
            </w:r>
            <w:r>
              <w:rPr>
                <w:rFonts w:hint="eastAsia"/>
                <w:color w:val="000000"/>
                <w:sz w:val="36"/>
                <w:szCs w:val="36"/>
              </w:rPr>
              <w:t>9</w:t>
            </w:r>
            <w:r>
              <w:rPr>
                <w:color w:val="000000"/>
                <w:sz w:val="36"/>
                <w:szCs w:val="36"/>
              </w:rPr>
              <w:t xml:space="preserve"> </w:t>
            </w:r>
            <w:r>
              <w:rPr>
                <w:rFonts w:hint="eastAsia"/>
                <w:color w:val="000000"/>
                <w:sz w:val="36"/>
                <w:szCs w:val="36"/>
              </w:rPr>
              <w:t>年度</w:t>
            </w:r>
            <w:r>
              <w:rPr>
                <w:color w:val="000000"/>
                <w:sz w:val="36"/>
                <w:szCs w:val="36"/>
              </w:rPr>
              <w:t>)</w:t>
            </w:r>
          </w:p>
        </w:tc>
      </w:tr>
      <w:tr>
        <w:tblPrEx>
          <w:tblCellMar>
            <w:top w:w="0" w:type="dxa"/>
            <w:left w:w="0" w:type="dxa"/>
            <w:bottom w:w="0" w:type="dxa"/>
            <w:right w:w="0" w:type="dxa"/>
          </w:tblCellMar>
        </w:tblPrEx>
        <w:trPr>
          <w:gridAfter w:val="1"/>
          <w:wAfter w:w="126" w:type="dxa"/>
          <w:trHeight w:val="276" w:hRule="atLeast"/>
        </w:trPr>
        <w:tc>
          <w:tcPr>
            <w:tcW w:w="2798" w:type="dxa"/>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项目名称</w:t>
            </w:r>
          </w:p>
        </w:tc>
        <w:tc>
          <w:tcPr>
            <w:tcW w:w="7036" w:type="dxa"/>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政策法规宣传</w:t>
            </w:r>
          </w:p>
        </w:tc>
      </w:tr>
      <w:tr>
        <w:tblPrEx>
          <w:tblCellMar>
            <w:top w:w="0" w:type="dxa"/>
            <w:left w:w="0" w:type="dxa"/>
            <w:bottom w:w="0" w:type="dxa"/>
            <w:right w:w="0" w:type="dxa"/>
          </w:tblCellMar>
        </w:tblPrEx>
        <w:trPr>
          <w:gridAfter w:val="1"/>
          <w:wAfter w:w="126" w:type="dxa"/>
          <w:trHeight w:val="276" w:hRule="atLeast"/>
        </w:trPr>
        <w:tc>
          <w:tcPr>
            <w:tcW w:w="2798" w:type="dxa"/>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预算单位</w:t>
            </w:r>
          </w:p>
        </w:tc>
        <w:tc>
          <w:tcPr>
            <w:tcW w:w="7036" w:type="dxa"/>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遂宁市人力资源和社会保障局</w:t>
            </w:r>
          </w:p>
        </w:tc>
      </w:tr>
      <w:tr>
        <w:tblPrEx>
          <w:tblCellMar>
            <w:top w:w="0" w:type="dxa"/>
            <w:left w:w="0" w:type="dxa"/>
            <w:bottom w:w="0" w:type="dxa"/>
            <w:right w:w="0" w:type="dxa"/>
          </w:tblCellMar>
        </w:tblPrEx>
        <w:trPr>
          <w:gridAfter w:val="1"/>
          <w:wAfter w:w="126" w:type="dxa"/>
          <w:trHeight w:val="276" w:hRule="atLeast"/>
        </w:trPr>
        <w:tc>
          <w:tcPr>
            <w:tcW w:w="56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预算执行情况</w:t>
            </w:r>
            <w:r>
              <w:rPr>
                <w:rFonts w:ascii="仿宋_GB2312" w:hAnsi="仿宋" w:eastAsia="仿宋_GB2312" w:cs="仿宋_GB2312"/>
                <w:color w:val="000000"/>
              </w:rPr>
              <w:t>(</w:t>
            </w:r>
            <w:r>
              <w:rPr>
                <w:rFonts w:hint="eastAsia" w:ascii="仿宋_GB2312" w:hAnsi="仿宋" w:eastAsia="仿宋_GB2312" w:cs="仿宋_GB2312"/>
                <w:color w:val="000000"/>
              </w:rPr>
              <w:t>万元</w:t>
            </w:r>
            <w:r>
              <w:rPr>
                <w:rFonts w:ascii="仿宋_GB2312" w:hAnsi="仿宋" w:eastAsia="仿宋_GB2312" w:cs="仿宋_GB2312"/>
                <w:color w:val="000000"/>
              </w:rPr>
              <w:t>)</w:t>
            </w:r>
          </w:p>
        </w:tc>
        <w:tc>
          <w:tcPr>
            <w:tcW w:w="2237"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预算数</w:t>
            </w:r>
            <w:r>
              <w:rPr>
                <w:rFonts w:ascii="仿宋_GB2312" w:hAnsi="仿宋" w:eastAsia="仿宋_GB2312" w:cs="仿宋_GB2312"/>
                <w:color w:val="000000"/>
              </w:rPr>
              <w:t>:</w:t>
            </w:r>
          </w:p>
        </w:tc>
        <w:tc>
          <w:tcPr>
            <w:tcW w:w="24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color w:val="000000"/>
              </w:rPr>
            </w:pPr>
            <w:r>
              <w:rPr>
                <w:rFonts w:hint="eastAsia" w:ascii="仿宋_GB2312" w:hAnsi="仿宋" w:eastAsia="仿宋_GB2312" w:cs="仿宋_GB2312"/>
                <w:color w:val="000000"/>
              </w:rPr>
              <w:t>5</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执行数</w:t>
            </w:r>
            <w:r>
              <w:rPr>
                <w:rFonts w:ascii="仿宋_GB2312" w:hAnsi="仿宋" w:eastAsia="仿宋_GB2312" w:cs="仿宋_GB2312"/>
                <w:color w:val="000000"/>
              </w:rPr>
              <w:t>:</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rPr>
            </w:pPr>
            <w:r>
              <w:rPr>
                <w:rFonts w:hint="eastAsia" w:ascii="仿宋_GB2312" w:hAnsi="仿宋" w:eastAsia="仿宋_GB2312" w:cs="仿宋_GB2312"/>
              </w:rPr>
              <w:t>5</w:t>
            </w:r>
          </w:p>
        </w:tc>
      </w:tr>
      <w:tr>
        <w:tblPrEx>
          <w:tblCellMar>
            <w:top w:w="0" w:type="dxa"/>
            <w:left w:w="0" w:type="dxa"/>
            <w:bottom w:w="0" w:type="dxa"/>
            <w:right w:w="0" w:type="dxa"/>
          </w:tblCellMar>
        </w:tblPrEx>
        <w:trPr>
          <w:gridAfter w:val="1"/>
          <w:wAfter w:w="126" w:type="dxa"/>
          <w:trHeight w:val="276"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2237"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其中</w:t>
            </w:r>
            <w:r>
              <w:rPr>
                <w:rFonts w:ascii="仿宋_GB2312" w:hAnsi="仿宋" w:eastAsia="仿宋_GB2312" w:cs="仿宋_GB2312"/>
                <w:color w:val="000000"/>
              </w:rPr>
              <w:t>-</w:t>
            </w:r>
            <w:r>
              <w:rPr>
                <w:rFonts w:hint="eastAsia" w:ascii="仿宋_GB2312" w:hAnsi="仿宋" w:eastAsia="仿宋_GB2312" w:cs="仿宋_GB2312"/>
                <w:color w:val="000000"/>
              </w:rPr>
              <w:t>财政拨款</w:t>
            </w:r>
            <w:r>
              <w:rPr>
                <w:rFonts w:ascii="仿宋_GB2312" w:hAnsi="仿宋" w:eastAsia="仿宋_GB2312" w:cs="仿宋_GB2312"/>
                <w:color w:val="000000"/>
              </w:rPr>
              <w:t>:</w:t>
            </w:r>
          </w:p>
        </w:tc>
        <w:tc>
          <w:tcPr>
            <w:tcW w:w="24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color w:val="000000"/>
              </w:rPr>
            </w:pPr>
            <w:r>
              <w:rPr>
                <w:rFonts w:hint="eastAsia" w:ascii="仿宋_GB2312" w:hAnsi="仿宋" w:eastAsia="仿宋_GB2312" w:cs="仿宋_GB2312"/>
                <w:color w:val="000000"/>
              </w:rPr>
              <w:t>5</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其中</w:t>
            </w:r>
            <w:r>
              <w:rPr>
                <w:rFonts w:ascii="仿宋_GB2312" w:hAnsi="仿宋" w:eastAsia="仿宋_GB2312" w:cs="仿宋_GB2312"/>
                <w:color w:val="000000"/>
              </w:rPr>
              <w:t>-</w:t>
            </w:r>
            <w:r>
              <w:rPr>
                <w:rFonts w:hint="eastAsia" w:ascii="仿宋_GB2312" w:hAnsi="仿宋" w:eastAsia="仿宋_GB2312" w:cs="仿宋_GB2312"/>
                <w:color w:val="000000"/>
              </w:rPr>
              <w:t>财政拨款</w:t>
            </w:r>
            <w:r>
              <w:rPr>
                <w:rFonts w:ascii="仿宋_GB2312" w:hAnsi="仿宋" w:eastAsia="仿宋_GB2312" w:cs="仿宋_GB2312"/>
                <w:color w:val="000000"/>
              </w:rPr>
              <w:t>:</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rPr>
            </w:pPr>
            <w:r>
              <w:rPr>
                <w:rFonts w:hint="eastAsia" w:ascii="仿宋_GB2312" w:hAnsi="仿宋" w:eastAsia="仿宋_GB2312" w:cs="仿宋_GB2312"/>
              </w:rPr>
              <w:t>5</w:t>
            </w:r>
          </w:p>
        </w:tc>
      </w:tr>
      <w:tr>
        <w:tblPrEx>
          <w:tblCellMar>
            <w:top w:w="0" w:type="dxa"/>
            <w:left w:w="0" w:type="dxa"/>
            <w:bottom w:w="0" w:type="dxa"/>
            <w:right w:w="0" w:type="dxa"/>
          </w:tblCellMar>
        </w:tblPrEx>
        <w:trPr>
          <w:gridAfter w:val="1"/>
          <w:wAfter w:w="126" w:type="dxa"/>
          <w:trHeight w:val="487"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2237"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rPr>
                <w:rFonts w:ascii="仿宋_GB2312" w:hAnsi="仿宋" w:eastAsia="仿宋_GB2312" w:cs="仿宋_GB2312"/>
              </w:rPr>
            </w:pPr>
            <w:r>
              <w:rPr>
                <w:rFonts w:hint="eastAsia" w:ascii="仿宋_GB2312" w:hAnsi="仿宋" w:eastAsia="仿宋_GB2312" w:cs="仿宋_GB2312"/>
              </w:rPr>
              <w:t xml:space="preserve">  其它资金</w:t>
            </w:r>
            <w:r>
              <w:rPr>
                <w:rFonts w:ascii="仿宋_GB2312" w:hAnsi="仿宋" w:eastAsia="仿宋_GB2312" w:cs="仿宋_GB2312"/>
              </w:rPr>
              <w:t>:</w:t>
            </w:r>
          </w:p>
        </w:tc>
        <w:tc>
          <w:tcPr>
            <w:tcW w:w="24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ascii="仿宋_GB2312" w:hAnsi="仿宋" w:eastAsia="仿宋_GB2312" w:cs="仿宋_GB2312"/>
                <w:color w:val="000000"/>
              </w:rPr>
              <w:t>0</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其它资金</w:t>
            </w:r>
            <w:r>
              <w:rPr>
                <w:rFonts w:ascii="仿宋_GB2312" w:hAnsi="仿宋" w:eastAsia="仿宋_GB2312" w:cs="仿宋_GB2312"/>
                <w:color w:val="000000"/>
              </w:rPr>
              <w:t>:</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 w:eastAsia="仿宋_GB2312"/>
              </w:rPr>
            </w:pPr>
            <w:r>
              <w:rPr>
                <w:rFonts w:hint="eastAsia" w:ascii="仿宋_GB2312" w:hAnsi="仿宋" w:eastAsia="仿宋_GB2312"/>
              </w:rPr>
              <w:t>0</w:t>
            </w:r>
          </w:p>
        </w:tc>
      </w:tr>
      <w:tr>
        <w:tblPrEx>
          <w:tblCellMar>
            <w:top w:w="0" w:type="dxa"/>
            <w:left w:w="0" w:type="dxa"/>
            <w:bottom w:w="0" w:type="dxa"/>
            <w:right w:w="0" w:type="dxa"/>
          </w:tblCellMar>
        </w:tblPrEx>
        <w:trPr>
          <w:gridAfter w:val="1"/>
          <w:wAfter w:w="126" w:type="dxa"/>
          <w:trHeight w:val="534" w:hRule="atLeast"/>
        </w:trPr>
        <w:tc>
          <w:tcPr>
            <w:tcW w:w="56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年度目标完成情况</w:t>
            </w:r>
          </w:p>
        </w:tc>
        <w:tc>
          <w:tcPr>
            <w:tcW w:w="4694" w:type="dxa"/>
            <w:gridSpan w:val="1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预期目标</w:t>
            </w:r>
          </w:p>
        </w:tc>
        <w:tc>
          <w:tcPr>
            <w:tcW w:w="45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rPr>
            </w:pPr>
            <w:r>
              <w:rPr>
                <w:rFonts w:hint="eastAsia" w:ascii="仿宋_GB2312" w:hAnsi="仿宋" w:eastAsia="仿宋_GB2312" w:cs="仿宋_GB2312"/>
              </w:rPr>
              <w:t>实际完成目标</w:t>
            </w:r>
          </w:p>
        </w:tc>
      </w:tr>
      <w:tr>
        <w:tblPrEx>
          <w:tblCellMar>
            <w:top w:w="0" w:type="dxa"/>
            <w:left w:w="0" w:type="dxa"/>
            <w:bottom w:w="0" w:type="dxa"/>
            <w:right w:w="0" w:type="dxa"/>
          </w:tblCellMar>
        </w:tblPrEx>
        <w:trPr>
          <w:gridAfter w:val="1"/>
          <w:wAfter w:w="126" w:type="dxa"/>
          <w:trHeight w:val="3231"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4694" w:type="dxa"/>
            <w:gridSpan w:val="1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rPr>
                <w:rFonts w:ascii="仿宋_GB2312" w:hAnsi="仿宋" w:eastAsia="仿宋_GB2312"/>
                <w:color w:val="000000"/>
              </w:rPr>
            </w:pPr>
            <w:r>
              <w:rPr>
                <w:rFonts w:hint="eastAsia" w:ascii="仿宋_GB2312" w:hAnsi="仿宋" w:eastAsia="仿宋_GB2312" w:cs="仿宋_GB2312"/>
              </w:rPr>
              <w:t>人社宣传紧紧围绕“民生为本，人才优先”工作主线，以“传播人社好声音、讲述人社好故事”为目标，针对社会焦点、工作难点、群众热点问题开展针对性政策法规宣传，提高了人民群众的知情度,促进了人力资源社会保障工作平稳推进。</w:t>
            </w:r>
          </w:p>
        </w:tc>
        <w:tc>
          <w:tcPr>
            <w:tcW w:w="45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ind w:firstLine="480" w:firstLineChars="200"/>
              <w:rPr>
                <w:rFonts w:ascii="仿宋_GB2312" w:hAnsi="仿宋" w:eastAsia="仿宋_GB2312"/>
              </w:rPr>
            </w:pPr>
            <w:r>
              <w:rPr>
                <w:rFonts w:hint="eastAsia" w:ascii="仿宋_GB2312" w:hAnsi="仿宋" w:eastAsia="仿宋_GB2312" w:cs="仿宋_GB2312"/>
              </w:rPr>
              <w:t>做好人力资源社会保障政策法规的宣传，确保人力资源社会保障工作有序进行。</w:t>
            </w:r>
          </w:p>
        </w:tc>
      </w:tr>
      <w:tr>
        <w:tblPrEx>
          <w:tblCellMar>
            <w:top w:w="0" w:type="dxa"/>
            <w:left w:w="0" w:type="dxa"/>
            <w:bottom w:w="0" w:type="dxa"/>
            <w:right w:w="0" w:type="dxa"/>
          </w:tblCellMar>
        </w:tblPrEx>
        <w:trPr>
          <w:gridAfter w:val="1"/>
          <w:wAfter w:w="126" w:type="dxa"/>
          <w:trHeight w:val="791" w:hRule="atLeast"/>
        </w:trPr>
        <w:tc>
          <w:tcPr>
            <w:tcW w:w="56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绩效指标完成情况</w:t>
            </w: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一级指标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二级指标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三级指标</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预期指标值</w:t>
            </w:r>
            <w:r>
              <w:rPr>
                <w:rFonts w:ascii="仿宋_GB2312" w:hAnsi="仿宋" w:eastAsia="仿宋_GB2312" w:cs="仿宋_GB2312"/>
                <w:color w:val="000000"/>
              </w:rPr>
              <w:t>(</w:t>
            </w:r>
            <w:r>
              <w:rPr>
                <w:rFonts w:hint="eastAsia" w:ascii="仿宋_GB2312" w:hAnsi="仿宋" w:eastAsia="仿宋_GB2312" w:cs="仿宋_GB2312"/>
                <w:color w:val="000000"/>
              </w:rPr>
              <w:t>包含数字及文字描述</w:t>
            </w:r>
            <w:r>
              <w:rPr>
                <w:rFonts w:ascii="仿宋_GB2312" w:hAnsi="仿宋" w:eastAsia="仿宋_GB2312" w:cs="仿宋_GB2312"/>
                <w:color w:val="000000"/>
              </w:rPr>
              <w:t>)</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rPr>
            </w:pPr>
            <w:r>
              <w:rPr>
                <w:rFonts w:hint="eastAsia" w:ascii="仿宋_GB2312" w:hAnsi="仿宋" w:eastAsia="仿宋_GB2312" w:cs="仿宋_GB2312"/>
              </w:rPr>
              <w:t>实际完成指标值</w:t>
            </w:r>
            <w:r>
              <w:rPr>
                <w:rFonts w:ascii="仿宋_GB2312" w:hAnsi="仿宋" w:eastAsia="仿宋_GB2312" w:cs="仿宋_GB2312"/>
              </w:rPr>
              <w:t>(</w:t>
            </w:r>
            <w:r>
              <w:rPr>
                <w:rFonts w:hint="eastAsia" w:ascii="仿宋_GB2312" w:hAnsi="仿宋" w:eastAsia="仿宋_GB2312" w:cs="仿宋_GB2312"/>
              </w:rPr>
              <w:t>包含数字及文字描述</w:t>
            </w:r>
            <w:r>
              <w:rPr>
                <w:rFonts w:ascii="仿宋_GB2312" w:hAnsi="仿宋" w:eastAsia="仿宋_GB2312" w:cs="仿宋_GB2312"/>
              </w:rPr>
              <w:t>)</w:t>
            </w:r>
          </w:p>
        </w:tc>
      </w:tr>
      <w:tr>
        <w:tblPrEx>
          <w:tblCellMar>
            <w:top w:w="0" w:type="dxa"/>
            <w:left w:w="0" w:type="dxa"/>
            <w:bottom w:w="0" w:type="dxa"/>
            <w:right w:w="0" w:type="dxa"/>
          </w:tblCellMar>
        </w:tblPrEx>
        <w:trPr>
          <w:gridAfter w:val="1"/>
          <w:wAfter w:w="126" w:type="dxa"/>
          <w:trHeight w:val="564"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项目完成指标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数量指标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全面完成2019年人社事业宣传任务</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100%</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rPr>
            </w:pPr>
            <w:r>
              <w:rPr>
                <w:rFonts w:hint="eastAsia" w:ascii="仿宋_GB2312" w:hAnsi="仿宋" w:eastAsia="仿宋_GB2312" w:cs="仿宋_GB2312"/>
              </w:rPr>
              <w:t>100%</w:t>
            </w:r>
          </w:p>
        </w:tc>
      </w:tr>
      <w:tr>
        <w:tblPrEx>
          <w:tblCellMar>
            <w:top w:w="0" w:type="dxa"/>
            <w:left w:w="0" w:type="dxa"/>
            <w:bottom w:w="0" w:type="dxa"/>
            <w:right w:w="0" w:type="dxa"/>
          </w:tblCellMar>
        </w:tblPrEx>
        <w:trPr>
          <w:gridAfter w:val="1"/>
          <w:wAfter w:w="126" w:type="dxa"/>
          <w:trHeight w:val="631"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项目完成指标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质量指标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圆满按质完成</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auto"/>
              <w:jc w:val="center"/>
              <w:textAlignment w:val="center"/>
              <w:rPr>
                <w:rFonts w:ascii="仿宋_GB2312" w:hAnsi="仿宋" w:eastAsia="仿宋_GB2312"/>
                <w:color w:val="000000"/>
              </w:rPr>
            </w:pPr>
            <w:r>
              <w:rPr>
                <w:rFonts w:hint="eastAsia" w:ascii="仿宋_GB2312" w:hAnsi="仿宋" w:eastAsia="仿宋_GB2312" w:cs="仿宋_GB2312"/>
                <w:color w:val="000000"/>
              </w:rPr>
              <w:t>100%</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rPr>
            </w:pPr>
            <w:r>
              <w:rPr>
                <w:rFonts w:hint="eastAsia" w:ascii="仿宋_GB2312" w:hAnsi="仿宋" w:eastAsia="仿宋_GB2312" w:cs="仿宋_GB2312"/>
              </w:rPr>
              <w:t>100%</w:t>
            </w:r>
          </w:p>
        </w:tc>
      </w:tr>
      <w:tr>
        <w:tblPrEx>
          <w:tblCellMar>
            <w:top w:w="0" w:type="dxa"/>
            <w:left w:w="0" w:type="dxa"/>
            <w:bottom w:w="0" w:type="dxa"/>
            <w:right w:w="0" w:type="dxa"/>
          </w:tblCellMar>
        </w:tblPrEx>
        <w:trPr>
          <w:gridAfter w:val="1"/>
          <w:wAfter w:w="126" w:type="dxa"/>
          <w:trHeight w:val="527"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项目完成指标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实效指标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长期性</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延续性</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rPr>
            </w:pPr>
            <w:r>
              <w:rPr>
                <w:rFonts w:hint="eastAsia" w:ascii="仿宋_GB2312" w:hAnsi="仿宋" w:eastAsia="仿宋_GB2312" w:cs="仿宋_GB2312"/>
              </w:rPr>
              <w:t>延续性</w:t>
            </w:r>
          </w:p>
        </w:tc>
      </w:tr>
      <w:tr>
        <w:tblPrEx>
          <w:tblCellMar>
            <w:top w:w="0" w:type="dxa"/>
            <w:left w:w="0" w:type="dxa"/>
            <w:bottom w:w="0" w:type="dxa"/>
            <w:right w:w="0" w:type="dxa"/>
          </w:tblCellMar>
        </w:tblPrEx>
        <w:trPr>
          <w:gridAfter w:val="1"/>
          <w:wAfter w:w="126" w:type="dxa"/>
          <w:trHeight w:val="607"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项目完成指标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成本指标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按每次签订合同约定为准</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color w:val="000000"/>
              </w:rPr>
            </w:pPr>
            <w:r>
              <w:rPr>
                <w:rFonts w:hint="eastAsia" w:ascii="仿宋_GB2312" w:hAnsi="仿宋" w:eastAsia="仿宋_GB2312" w:cs="仿宋_GB2312"/>
                <w:color w:val="000000"/>
              </w:rPr>
              <w:t>100</w:t>
            </w:r>
            <w:r>
              <w:rPr>
                <w:rFonts w:ascii="仿宋_GB2312" w:hAnsi="仿宋" w:eastAsia="仿宋_GB2312" w:cs="仿宋_GB2312"/>
                <w:color w:val="000000"/>
              </w:rPr>
              <w:t>%</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s="仿宋_GB2312"/>
              </w:rPr>
            </w:pPr>
            <w:r>
              <w:rPr>
                <w:rFonts w:ascii="仿宋_GB2312" w:hAnsi="仿宋" w:eastAsia="仿宋_GB2312" w:cs="仿宋_GB2312"/>
              </w:rPr>
              <w:t>100%</w:t>
            </w:r>
          </w:p>
        </w:tc>
      </w:tr>
      <w:tr>
        <w:tblPrEx>
          <w:tblCellMar>
            <w:top w:w="0" w:type="dxa"/>
            <w:left w:w="0" w:type="dxa"/>
            <w:bottom w:w="0" w:type="dxa"/>
            <w:right w:w="0" w:type="dxa"/>
          </w:tblCellMar>
        </w:tblPrEx>
        <w:trPr>
          <w:gridAfter w:val="1"/>
          <w:wAfter w:w="126" w:type="dxa"/>
          <w:trHeight w:val="1429"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after="100" w:afterAutospacing="1" w:line="580" w:lineRule="exact"/>
              <w:jc w:val="center"/>
              <w:rPr>
                <w:rFonts w:ascii="仿宋_GB2312" w:hAnsi="仿宋" w:eastAsia="仿宋_GB2312"/>
              </w:rPr>
            </w:pPr>
            <w:r>
              <w:rPr>
                <w:rFonts w:hint="eastAsia" w:ascii="仿宋_GB2312" w:hAnsi="仿宋" w:eastAsia="仿宋_GB2312" w:cs="仿宋_GB2312"/>
              </w:rPr>
              <w:t>效益指标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after="100" w:afterAutospacing="1" w:line="580" w:lineRule="exact"/>
              <w:jc w:val="center"/>
              <w:rPr>
                <w:rFonts w:ascii="仿宋_GB2312" w:hAnsi="仿宋" w:eastAsia="仿宋_GB2312"/>
              </w:rPr>
            </w:pPr>
            <w:r>
              <w:rPr>
                <w:rFonts w:hint="eastAsia" w:ascii="仿宋_GB2312" w:hAnsi="仿宋" w:eastAsia="仿宋_GB2312" w:cs="仿宋_GB2312"/>
              </w:rPr>
              <w:t>社会效益</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after="100" w:afterAutospacing="1"/>
              <w:jc w:val="center"/>
              <w:rPr>
                <w:rFonts w:ascii="仿宋_GB2312" w:eastAsia="仿宋_GB2312"/>
              </w:rPr>
            </w:pPr>
            <w:r>
              <w:rPr>
                <w:rFonts w:hint="eastAsia" w:ascii="仿宋_GB2312" w:eastAsia="仿宋_GB2312" w:cs="仿宋_GB2312"/>
              </w:rPr>
              <w:t>让人民群众知晓人社事业心政策</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after="100" w:afterAutospacing="1" w:line="580" w:lineRule="exact"/>
              <w:jc w:val="center"/>
              <w:rPr>
                <w:rFonts w:ascii="仿宋_GB2312" w:hAnsi="仿宋" w:eastAsia="仿宋_GB2312"/>
              </w:rPr>
            </w:pPr>
            <w:r>
              <w:rPr>
                <w:rFonts w:hint="eastAsia" w:ascii="仿宋_GB2312" w:hAnsi="仿宋" w:eastAsia="仿宋_GB2312" w:cs="仿宋_GB2312"/>
              </w:rPr>
              <w:t>方便群众查询社保信息和了解人社政策法规</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after="100" w:afterAutospacing="1" w:line="580" w:lineRule="exact"/>
              <w:ind w:firstLine="480" w:firstLineChars="200"/>
              <w:jc w:val="center"/>
              <w:rPr>
                <w:rFonts w:ascii="仿宋_GB2312" w:hAnsi="仿宋" w:eastAsia="仿宋_GB2312" w:cs="仿宋_GB2312"/>
              </w:rPr>
            </w:pPr>
            <w:r>
              <w:rPr>
                <w:rFonts w:hint="eastAsia" w:ascii="仿宋_GB2312" w:hAnsi="仿宋" w:eastAsia="仿宋_GB2312" w:cs="仿宋_GB2312"/>
              </w:rPr>
              <w:t>100</w:t>
            </w:r>
            <w:r>
              <w:rPr>
                <w:rFonts w:ascii="仿宋_GB2312" w:hAnsi="仿宋" w:eastAsia="仿宋_GB2312" w:cs="仿宋_GB2312"/>
              </w:rPr>
              <w:t>%</w:t>
            </w:r>
          </w:p>
        </w:tc>
      </w:tr>
      <w:tr>
        <w:tblPrEx>
          <w:tblCellMar>
            <w:top w:w="0" w:type="dxa"/>
            <w:left w:w="0" w:type="dxa"/>
            <w:bottom w:w="0" w:type="dxa"/>
            <w:right w:w="0" w:type="dxa"/>
          </w:tblCellMar>
        </w:tblPrEx>
        <w:trPr>
          <w:gridAfter w:val="1"/>
          <w:wAfter w:w="126" w:type="dxa"/>
          <w:trHeight w:val="45"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jc w:val="center"/>
              <w:rPr>
                <w:rFonts w:ascii="仿宋_GB2312" w:hAnsi="仿宋" w:eastAsia="仿宋_GB2312"/>
              </w:rPr>
            </w:pPr>
            <w:r>
              <w:rPr>
                <w:rFonts w:hint="eastAsia" w:ascii="仿宋_GB2312" w:hAnsi="仿宋" w:eastAsia="仿宋_GB2312" w:cs="仿宋_GB2312"/>
              </w:rPr>
              <w:t>效益指标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jc w:val="center"/>
              <w:rPr>
                <w:rFonts w:ascii="仿宋_GB2312" w:hAnsi="仿宋" w:eastAsia="仿宋_GB2312"/>
              </w:rPr>
            </w:pPr>
            <w:r>
              <w:rPr>
                <w:rFonts w:hint="eastAsia" w:ascii="仿宋_GB2312" w:hAnsi="仿宋" w:eastAsia="仿宋_GB2312" w:cs="仿宋_GB2312"/>
              </w:rPr>
              <w:t>可持续性</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长期性</w:t>
            </w: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 w:eastAsia="仿宋_GB2312"/>
                <w:color w:val="000000"/>
              </w:rPr>
            </w:pPr>
            <w:r>
              <w:rPr>
                <w:rFonts w:hint="eastAsia" w:ascii="仿宋_GB2312" w:hAnsi="仿宋" w:eastAsia="仿宋_GB2312" w:cs="仿宋_GB2312"/>
                <w:color w:val="000000"/>
              </w:rPr>
              <w:t>延续性</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60" w:lineRule="auto"/>
              <w:jc w:val="center"/>
              <w:textAlignment w:val="center"/>
              <w:rPr>
                <w:rFonts w:ascii="仿宋_GB2312" w:hAnsi="仿宋" w:eastAsia="仿宋_GB2312"/>
              </w:rPr>
            </w:pPr>
            <w:r>
              <w:rPr>
                <w:rFonts w:hint="eastAsia" w:ascii="仿宋_GB2312" w:hAnsi="仿宋" w:eastAsia="仿宋_GB2312" w:cs="仿宋_GB2312"/>
              </w:rPr>
              <w:t>100%</w:t>
            </w:r>
          </w:p>
        </w:tc>
      </w:tr>
      <w:tr>
        <w:tblPrEx>
          <w:tblCellMar>
            <w:top w:w="0" w:type="dxa"/>
            <w:left w:w="0" w:type="dxa"/>
            <w:bottom w:w="0" w:type="dxa"/>
            <w:right w:w="0" w:type="dxa"/>
          </w:tblCellMar>
        </w:tblPrEx>
        <w:trPr>
          <w:gridAfter w:val="1"/>
          <w:wAfter w:w="126" w:type="dxa"/>
          <w:trHeight w:val="45" w:hRule="atLeast"/>
        </w:trPr>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color w:val="000000"/>
              </w:rPr>
            </w:pPr>
          </w:p>
        </w:tc>
        <w:tc>
          <w:tcPr>
            <w:tcW w:w="11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00" w:lineRule="exact"/>
              <w:jc w:val="center"/>
              <w:rPr>
                <w:rFonts w:ascii="仿宋_GB2312" w:hAnsi="仿宋" w:eastAsia="仿宋_GB2312"/>
                <w:color w:val="000000"/>
              </w:rPr>
            </w:pPr>
            <w:r>
              <w:rPr>
                <w:rFonts w:hint="eastAsia" w:ascii="仿宋_GB2312" w:hAnsi="仿宋" w:eastAsia="仿宋_GB2312" w:cs="仿宋_GB2312"/>
                <w:color w:val="000000"/>
              </w:rPr>
              <w:t>满意度</w:t>
            </w:r>
          </w:p>
          <w:p>
            <w:pPr>
              <w:spacing w:line="400" w:lineRule="exact"/>
              <w:jc w:val="center"/>
              <w:rPr>
                <w:rFonts w:ascii="仿宋_GB2312" w:hAnsi="仿宋" w:eastAsia="仿宋_GB2312"/>
                <w:color w:val="000000"/>
              </w:rPr>
            </w:pPr>
            <w:r>
              <w:rPr>
                <w:rFonts w:hint="eastAsia" w:ascii="仿宋_GB2312" w:hAnsi="仿宋" w:eastAsia="仿宋_GB2312" w:cs="仿宋_GB2312"/>
                <w:color w:val="000000"/>
              </w:rPr>
              <w:t>指标</w:t>
            </w:r>
          </w:p>
        </w:tc>
        <w:tc>
          <w:tcPr>
            <w:tcW w:w="126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00" w:lineRule="exact"/>
              <w:jc w:val="center"/>
              <w:rPr>
                <w:rFonts w:ascii="仿宋_GB2312" w:hAnsi="仿宋" w:eastAsia="仿宋_GB2312"/>
                <w:color w:val="000000"/>
              </w:rPr>
            </w:pPr>
            <w:r>
              <w:rPr>
                <w:rFonts w:hint="eastAsia" w:ascii="仿宋_GB2312" w:hAnsi="仿宋" w:eastAsia="仿宋_GB2312" w:cs="仿宋_GB2312"/>
                <w:color w:val="000000"/>
              </w:rPr>
              <w:t>社会满意度指标</w:t>
            </w:r>
          </w:p>
        </w:tc>
        <w:tc>
          <w:tcPr>
            <w:tcW w:w="230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16"/>
                <w:szCs w:val="16"/>
              </w:rPr>
            </w:pPr>
            <w:r>
              <w:rPr>
                <w:rFonts w:hint="eastAsia"/>
                <w:color w:val="000000"/>
                <w:sz w:val="16"/>
                <w:szCs w:val="16"/>
              </w:rPr>
              <w:t>让群众满意</w:t>
            </w:r>
          </w:p>
          <w:p>
            <w:pPr>
              <w:jc w:val="center"/>
              <w:rPr>
                <w:rFonts w:ascii="仿宋_GB2312" w:eastAsia="仿宋_GB2312"/>
              </w:rPr>
            </w:pPr>
          </w:p>
        </w:tc>
        <w:tc>
          <w:tcPr>
            <w:tcW w:w="2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ind w:firstLine="480" w:firstLineChars="200"/>
              <w:jc w:val="center"/>
              <w:rPr>
                <w:rFonts w:ascii="仿宋_GB2312" w:hAnsi="仿宋" w:eastAsia="仿宋_GB2312"/>
              </w:rPr>
            </w:pPr>
            <w:r>
              <w:rPr>
                <w:rFonts w:ascii="仿宋_GB2312" w:hAnsi="仿宋" w:eastAsia="仿宋_GB2312" w:cs="仿宋_GB2312"/>
              </w:rPr>
              <w:t>95%</w:t>
            </w:r>
            <w:r>
              <w:rPr>
                <w:rFonts w:hint="eastAsia" w:ascii="仿宋_GB2312" w:hAnsi="仿宋" w:eastAsia="仿宋_GB2312" w:cs="仿宋_GB2312"/>
              </w:rPr>
              <w:t>以上</w:t>
            </w:r>
          </w:p>
        </w:tc>
        <w:tc>
          <w:tcPr>
            <w:tcW w:w="22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ind w:firstLine="480" w:firstLineChars="200"/>
              <w:jc w:val="center"/>
              <w:rPr>
                <w:rFonts w:ascii="仿宋_GB2312" w:hAnsi="仿宋" w:eastAsia="仿宋_GB2312" w:cs="仿宋_GB2312"/>
              </w:rPr>
            </w:pPr>
            <w:r>
              <w:rPr>
                <w:rFonts w:ascii="仿宋_GB2312" w:hAnsi="仿宋" w:eastAsia="仿宋_GB2312" w:cs="仿宋_GB2312"/>
              </w:rPr>
              <w:t>96%</w:t>
            </w:r>
          </w:p>
        </w:tc>
      </w:tr>
      <w:tr>
        <w:tblPrEx>
          <w:tblCellMar>
            <w:top w:w="0" w:type="dxa"/>
            <w:left w:w="0" w:type="dxa"/>
            <w:bottom w:w="0" w:type="dxa"/>
            <w:right w:w="0" w:type="dxa"/>
          </w:tblCellMar>
        </w:tblPrEx>
        <w:trPr>
          <w:trHeight w:val="1034" w:hRule="atLeast"/>
        </w:trPr>
        <w:tc>
          <w:tcPr>
            <w:tcW w:w="9960" w:type="dxa"/>
            <w:gridSpan w:val="17"/>
            <w:tcMar>
              <w:top w:w="15" w:type="dxa"/>
              <w:left w:w="15" w:type="dxa"/>
              <w:bottom w:w="0" w:type="dxa"/>
              <w:right w:w="15" w:type="dxa"/>
            </w:tcMar>
            <w:vAlign w:val="center"/>
          </w:tcPr>
          <w:p>
            <w:pPr>
              <w:pStyle w:val="32"/>
              <w:ind w:left="4566" w:leftChars="1310" w:hanging="1422" w:hangingChars="395"/>
              <w:jc w:val="both"/>
              <w:textAlignment w:val="center"/>
              <w:rPr>
                <w:rFonts w:ascii="黑体" w:hAnsi="黑体" w:eastAsia="黑体" w:cs="黑体"/>
                <w:color w:val="000000"/>
                <w:sz w:val="36"/>
                <w:szCs w:val="36"/>
              </w:rPr>
            </w:pPr>
          </w:p>
          <w:tbl>
            <w:tblPr>
              <w:tblStyle w:val="16"/>
              <w:tblpPr w:leftFromText="180" w:rightFromText="180" w:vertAnchor="text" w:horzAnchor="page" w:tblpXSpec="center" w:tblpY="423"/>
              <w:tblOverlap w:val="never"/>
              <w:tblW w:w="9923" w:type="dxa"/>
              <w:jc w:val="center"/>
              <w:tblLayout w:type="fixed"/>
              <w:tblCellMar>
                <w:top w:w="0" w:type="dxa"/>
                <w:left w:w="0" w:type="dxa"/>
                <w:bottom w:w="0" w:type="dxa"/>
                <w:right w:w="0" w:type="dxa"/>
              </w:tblCellMar>
            </w:tblPr>
            <w:tblGrid>
              <w:gridCol w:w="518"/>
              <w:gridCol w:w="1372"/>
              <w:gridCol w:w="1030"/>
              <w:gridCol w:w="2183"/>
              <w:gridCol w:w="2410"/>
              <w:gridCol w:w="211"/>
              <w:gridCol w:w="2199"/>
            </w:tblGrid>
            <w:tr>
              <w:trPr>
                <w:trHeight w:val="1345" w:hRule="atLeast"/>
                <w:jc w:val="center"/>
              </w:trPr>
              <w:tc>
                <w:tcPr>
                  <w:tcW w:w="9923" w:type="dxa"/>
                  <w:gridSpan w:val="7"/>
                  <w:tcBorders>
                    <w:top w:val="nil"/>
                    <w:left w:val="nil"/>
                    <w:bottom w:val="nil"/>
                    <w:right w:val="nil"/>
                  </w:tcBorders>
                  <w:tcMar>
                    <w:top w:w="15" w:type="dxa"/>
                    <w:left w:w="15" w:type="dxa"/>
                    <w:right w:w="15" w:type="dxa"/>
                  </w:tcMar>
                  <w:vAlign w:val="center"/>
                </w:tcPr>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eastAsia="宋体"/>
                      <w:b/>
                      <w:bCs/>
                      <w:color w:val="000000"/>
                      <w:sz w:val="36"/>
                      <w:szCs w:val="36"/>
                      <w:lang w:eastAsia="zh-CN"/>
                    </w:rPr>
                  </w:pPr>
                  <w:r>
                    <w:rPr>
                      <w:rFonts w:hint="eastAsia"/>
                      <w:b/>
                      <w:bCs/>
                      <w:color w:val="000000"/>
                      <w:sz w:val="36"/>
                      <w:szCs w:val="36"/>
                    </w:rPr>
                    <w:t>项目绩效目标完成情况表</w:t>
                  </w:r>
                </w:p>
                <w:p>
                  <w:pPr>
                    <w:jc w:val="center"/>
                    <w:textAlignment w:val="center"/>
                    <w:rPr>
                      <w:color w:val="000000"/>
                      <w:sz w:val="36"/>
                      <w:szCs w:val="36"/>
                    </w:rPr>
                  </w:pPr>
                  <w:r>
                    <w:rPr>
                      <w:rFonts w:hint="eastAsia"/>
                      <w:color w:val="000000"/>
                      <w:sz w:val="36"/>
                      <w:szCs w:val="36"/>
                    </w:rPr>
                    <w:t>(2019 年度)</w:t>
                  </w:r>
                </w:p>
              </w:tc>
            </w:tr>
            <w:tr>
              <w:tblPrEx>
                <w:tblCellMar>
                  <w:top w:w="0" w:type="dxa"/>
                  <w:left w:w="0" w:type="dxa"/>
                  <w:bottom w:w="0" w:type="dxa"/>
                  <w:right w:w="0" w:type="dxa"/>
                </w:tblCellMar>
              </w:tblPrEx>
              <w:trPr>
                <w:trHeight w:val="358" w:hRule="atLeast"/>
                <w:jc w:val="center"/>
              </w:trPr>
              <w:tc>
                <w:tcPr>
                  <w:tcW w:w="29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项目名称</w:t>
                  </w:r>
                </w:p>
              </w:tc>
              <w:tc>
                <w:tcPr>
                  <w:tcW w:w="7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就业创业工作经费</w:t>
                  </w:r>
                </w:p>
              </w:tc>
            </w:tr>
            <w:tr>
              <w:tblPrEx>
                <w:tblCellMar>
                  <w:top w:w="0" w:type="dxa"/>
                  <w:left w:w="0" w:type="dxa"/>
                  <w:bottom w:w="0" w:type="dxa"/>
                  <w:right w:w="0" w:type="dxa"/>
                </w:tblCellMar>
              </w:tblPrEx>
              <w:trPr>
                <w:trHeight w:val="358" w:hRule="atLeast"/>
                <w:jc w:val="center"/>
              </w:trPr>
              <w:tc>
                <w:tcPr>
                  <w:tcW w:w="29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预算单位</w:t>
                  </w:r>
                </w:p>
              </w:tc>
              <w:tc>
                <w:tcPr>
                  <w:tcW w:w="7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遂宁市就业服务管理局</w:t>
                  </w:r>
                </w:p>
              </w:tc>
            </w:tr>
            <w:tr>
              <w:tblPrEx>
                <w:tblCellMar>
                  <w:top w:w="0" w:type="dxa"/>
                  <w:left w:w="0" w:type="dxa"/>
                  <w:bottom w:w="0" w:type="dxa"/>
                  <w:right w:w="0" w:type="dxa"/>
                </w:tblCellMar>
              </w:tblPrEx>
              <w:trPr>
                <w:trHeight w:val="358"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预算执行情况(万元)</w:t>
                  </w:r>
                </w:p>
              </w:tc>
              <w:tc>
                <w:tcPr>
                  <w:tcW w:w="2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预算数:</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执行数:</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w:t>
                  </w:r>
                </w:p>
              </w:tc>
            </w:tr>
            <w:tr>
              <w:tblPrEx>
                <w:tblCellMar>
                  <w:top w:w="0" w:type="dxa"/>
                  <w:left w:w="0" w:type="dxa"/>
                  <w:bottom w:w="0" w:type="dxa"/>
                  <w:right w:w="0" w:type="dxa"/>
                </w:tblCellMar>
              </w:tblPrEx>
              <w:trPr>
                <w:trHeight w:val="35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olor w:val="000000"/>
                    </w:rPr>
                  </w:pPr>
                </w:p>
              </w:tc>
              <w:tc>
                <w:tcPr>
                  <w:tcW w:w="2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其中-财政拨款:</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其中-财政拨款:</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w:t>
                  </w:r>
                </w:p>
              </w:tc>
            </w:tr>
            <w:tr>
              <w:tblPrEx>
                <w:tblCellMar>
                  <w:top w:w="0" w:type="dxa"/>
                  <w:left w:w="0" w:type="dxa"/>
                  <w:bottom w:w="0" w:type="dxa"/>
                  <w:right w:w="0" w:type="dxa"/>
                </w:tblCellMar>
              </w:tblPrEx>
              <w:trPr>
                <w:trHeight w:val="196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olor w:val="000000"/>
                    </w:rPr>
                  </w:pPr>
                </w:p>
              </w:tc>
              <w:tc>
                <w:tcPr>
                  <w:tcW w:w="2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其它资金:</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其它资金:</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olor w:val="000000"/>
                    </w:rPr>
                  </w:pPr>
                </w:p>
              </w:tc>
            </w:tr>
            <w:tr>
              <w:tblPrEx>
                <w:tblCellMar>
                  <w:top w:w="0" w:type="dxa"/>
                  <w:left w:w="0" w:type="dxa"/>
                  <w:bottom w:w="0" w:type="dxa"/>
                  <w:right w:w="0" w:type="dxa"/>
                </w:tblCellMar>
              </w:tblPrEx>
              <w:trPr>
                <w:trHeight w:val="358"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年度目标完成情况</w:t>
                  </w:r>
                </w:p>
              </w:tc>
              <w:tc>
                <w:tcPr>
                  <w:tcW w:w="45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预期目标</w:t>
                  </w:r>
                </w:p>
              </w:tc>
              <w:tc>
                <w:tcPr>
                  <w:tcW w:w="48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实际完成目标</w:t>
                  </w:r>
                </w:p>
              </w:tc>
            </w:tr>
            <w:tr>
              <w:tblPrEx>
                <w:tblCellMar>
                  <w:top w:w="0" w:type="dxa"/>
                  <w:left w:w="0" w:type="dxa"/>
                  <w:bottom w:w="0" w:type="dxa"/>
                  <w:right w:w="0" w:type="dxa"/>
                </w:tblCellMar>
              </w:tblPrEx>
              <w:trPr>
                <w:trHeight w:val="455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olor w:val="000000"/>
                    </w:rPr>
                  </w:pPr>
                </w:p>
              </w:tc>
              <w:tc>
                <w:tcPr>
                  <w:tcW w:w="45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坚持民生为本，大力实施就业促进民生工程</w:t>
                  </w:r>
                </w:p>
              </w:tc>
              <w:tc>
                <w:tcPr>
                  <w:tcW w:w="48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仿宋_GB2312" w:eastAsia="仿宋_GB2312"/>
                    </w:rPr>
                  </w:pPr>
                  <w:r>
                    <w:rPr>
                      <w:rFonts w:hint="eastAsia" w:ascii="仿宋_GB2312" w:eastAsia="仿宋_GB2312"/>
                    </w:rPr>
                    <w:t>通过项目实施，</w:t>
                  </w:r>
                  <w:r>
                    <w:rPr>
                      <w:rFonts w:hint="eastAsia" w:ascii="仿宋_GB2312" w:eastAsia="仿宋_GB2312"/>
                      <w:spacing w:val="2"/>
                    </w:rPr>
                    <w:t>保障全市</w:t>
                  </w:r>
                  <w:r>
                    <w:rPr>
                      <w:rFonts w:hint="eastAsia" w:ascii="仿宋_GB2312" w:eastAsia="仿宋_GB2312"/>
                    </w:rPr>
                    <w:t>就业形势总体稳定</w:t>
                  </w:r>
                  <w:r>
                    <w:rPr>
                      <w:rFonts w:hint="eastAsia" w:ascii="仿宋_GB2312" w:eastAsia="仿宋_GB2312"/>
                      <w:b/>
                      <w:bCs/>
                    </w:rPr>
                    <w:t>,</w:t>
                  </w:r>
                  <w:r>
                    <w:rPr>
                      <w:rFonts w:hint="eastAsia" w:ascii="仿宋_GB2312" w:eastAsia="仿宋_GB2312"/>
                    </w:rPr>
                    <w:t>就业扶贫政策落地见效:</w:t>
                  </w:r>
                  <w:r>
                    <w:rPr>
                      <w:rFonts w:hint="eastAsia" w:ascii="仿宋_GB2312" w:eastAsia="仿宋_GB2312"/>
                      <w:spacing w:val="2"/>
                    </w:rPr>
                    <w:t>2019年全市城镇新增就业41573人；失业人员实现再就业21912人；就业困难人员实现就业5477人。城镇登记失业率为3.62%；动态消除了零就业家庭。</w:t>
                  </w:r>
                  <w:r>
                    <w:rPr>
                      <w:rFonts w:hint="eastAsia" w:ascii="仿宋_GB2312" w:eastAsia="仿宋_GB2312"/>
                    </w:rPr>
                    <w:t>全市“9+3”藏区学生170人已全部实现就业，就业率达100%；全市离校未就业高校毕业生实名制登记入库3849人，实现就业3809人，就业比例达到98.99%。</w:t>
                  </w:r>
                </w:p>
                <w:p>
                  <w:pPr>
                    <w:jc w:val="center"/>
                    <w:textAlignment w:val="center"/>
                    <w:rPr>
                      <w:rFonts w:ascii="仿宋_GB2312" w:eastAsia="仿宋_GB2312"/>
                      <w:color w:val="000000"/>
                    </w:rPr>
                  </w:pPr>
                </w:p>
              </w:tc>
            </w:tr>
            <w:tr>
              <w:tblPrEx>
                <w:tblCellMar>
                  <w:top w:w="0" w:type="dxa"/>
                  <w:left w:w="0" w:type="dxa"/>
                  <w:bottom w:w="0" w:type="dxa"/>
                  <w:right w:w="0" w:type="dxa"/>
                </w:tblCellMar>
              </w:tblPrEx>
              <w:trPr>
                <w:trHeight w:val="1136" w:hRule="atLeast"/>
                <w:jc w:val="center"/>
              </w:trPr>
              <w:tc>
                <w:tcPr>
                  <w:tcW w:w="5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绩效指标完成情况</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一级指标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二级指标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三级指标</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预期指标值(包含数字及文字描述)</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实际完成指标值(包含数字及文字描述)</w:t>
                  </w:r>
                </w:p>
              </w:tc>
            </w:tr>
            <w:tr>
              <w:tblPrEx>
                <w:tblCellMar>
                  <w:top w:w="0" w:type="dxa"/>
                  <w:left w:w="0" w:type="dxa"/>
                  <w:bottom w:w="0" w:type="dxa"/>
                  <w:right w:w="0" w:type="dxa"/>
                </w:tblCellMar>
              </w:tblPrEx>
              <w:trPr>
                <w:trHeight w:val="1041" w:hRule="atLeast"/>
                <w:jc w:val="center"/>
              </w:trPr>
              <w:tc>
                <w:tcPr>
                  <w:tcW w:w="518"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数量指标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完成就业率</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90%</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98.99%</w:t>
                  </w:r>
                </w:p>
              </w:tc>
            </w:tr>
            <w:tr>
              <w:tblPrEx>
                <w:tblCellMar>
                  <w:top w:w="0" w:type="dxa"/>
                  <w:left w:w="0" w:type="dxa"/>
                  <w:bottom w:w="0" w:type="dxa"/>
                  <w:right w:w="0" w:type="dxa"/>
                </w:tblCellMar>
              </w:tblPrEx>
              <w:trPr>
                <w:trHeight w:val="1407" w:hRule="atLeast"/>
                <w:jc w:val="center"/>
              </w:trPr>
              <w:tc>
                <w:tcPr>
                  <w:tcW w:w="518"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质量指标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完成工作量</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100%</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100%</w:t>
                  </w:r>
                </w:p>
              </w:tc>
            </w:tr>
            <w:tr>
              <w:tblPrEx>
                <w:tblCellMar>
                  <w:top w:w="0" w:type="dxa"/>
                  <w:left w:w="0" w:type="dxa"/>
                  <w:bottom w:w="0" w:type="dxa"/>
                  <w:right w:w="0" w:type="dxa"/>
                </w:tblCellMar>
              </w:tblPrEx>
              <w:trPr>
                <w:trHeight w:val="1136" w:hRule="atLeast"/>
                <w:jc w:val="center"/>
              </w:trPr>
              <w:tc>
                <w:tcPr>
                  <w:tcW w:w="518"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项目完成指标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时效指标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完成时间</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2019年12月31日前按时完成</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2019年12月31日前按时完成</w:t>
                  </w:r>
                </w:p>
              </w:tc>
            </w:tr>
            <w:tr>
              <w:tblPrEx>
                <w:tblCellMar>
                  <w:top w:w="0" w:type="dxa"/>
                  <w:left w:w="0" w:type="dxa"/>
                  <w:bottom w:w="0" w:type="dxa"/>
                  <w:right w:w="0" w:type="dxa"/>
                </w:tblCellMar>
              </w:tblPrEx>
              <w:trPr>
                <w:trHeight w:val="1136" w:hRule="atLeast"/>
                <w:jc w:val="center"/>
              </w:trPr>
              <w:tc>
                <w:tcPr>
                  <w:tcW w:w="518"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效益指标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社会效益</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完成目标</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降低失业率</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spacing w:val="2"/>
                    </w:rPr>
                    <w:t>城镇登记失业率为3.62%</w:t>
                  </w:r>
                </w:p>
              </w:tc>
            </w:tr>
            <w:tr>
              <w:tblPrEx>
                <w:tblCellMar>
                  <w:top w:w="0" w:type="dxa"/>
                  <w:left w:w="0" w:type="dxa"/>
                  <w:bottom w:w="0" w:type="dxa"/>
                  <w:right w:w="0" w:type="dxa"/>
                </w:tblCellMar>
              </w:tblPrEx>
              <w:trPr>
                <w:trHeight w:val="1407" w:hRule="atLeast"/>
                <w:jc w:val="center"/>
              </w:trPr>
              <w:tc>
                <w:tcPr>
                  <w:tcW w:w="518"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效益指标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可持续性</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工作期限</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可持续性</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可持续性</w:t>
                  </w:r>
                </w:p>
              </w:tc>
            </w:tr>
            <w:tr>
              <w:trPr>
                <w:trHeight w:val="1155" w:hRule="atLeast"/>
                <w:jc w:val="center"/>
              </w:trPr>
              <w:tc>
                <w:tcPr>
                  <w:tcW w:w="5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满意度指标</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满意度指标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社会评价</w:t>
                  </w:r>
                </w:p>
              </w:tc>
              <w:tc>
                <w:tcPr>
                  <w:tcW w:w="2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社会满意率90%</w:t>
                  </w:r>
                </w:p>
              </w:tc>
              <w:tc>
                <w:tcPr>
                  <w:tcW w:w="2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_GB2312" w:eastAsia="仿宋_GB2312"/>
                      <w:color w:val="000000"/>
                    </w:rPr>
                  </w:pPr>
                  <w:r>
                    <w:rPr>
                      <w:rFonts w:hint="eastAsia" w:ascii="仿宋_GB2312" w:eastAsia="仿宋_GB2312"/>
                      <w:color w:val="000000"/>
                    </w:rPr>
                    <w:t>社会满意率92%</w:t>
                  </w:r>
                </w:p>
              </w:tc>
            </w:tr>
          </w:tbl>
          <w:p>
            <w:pPr>
              <w:pStyle w:val="32"/>
              <w:ind w:left="4566" w:leftChars="1310" w:hanging="1422" w:hangingChars="395"/>
              <w:jc w:val="both"/>
              <w:textAlignment w:val="center"/>
              <w:rPr>
                <w:rFonts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rPr>
            </w:pPr>
          </w:p>
          <w:p>
            <w:pPr>
              <w:pStyle w:val="32"/>
              <w:ind w:left="4566" w:leftChars="1310" w:hanging="1422" w:hangingChars="395"/>
              <w:jc w:val="both"/>
              <w:textAlignment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rPr>
              <w:t>项目支出绩效目标完成情况表</w:t>
            </w:r>
          </w:p>
          <w:p>
            <w:pPr>
              <w:pStyle w:val="32"/>
              <w:ind w:left="4566" w:leftChars="1310" w:hanging="1422" w:hangingChars="395"/>
              <w:jc w:val="both"/>
              <w:textAlignment w:val="center"/>
              <w:rPr>
                <w:rFonts w:hAnsi="Times New Roman" w:cs="Times New Roman"/>
                <w:color w:val="000000"/>
                <w:kern w:val="2"/>
                <w:sz w:val="36"/>
                <w:szCs w:val="36"/>
              </w:rPr>
            </w:pPr>
            <w:r>
              <w:rPr>
                <w:color w:val="000000"/>
                <w:sz w:val="36"/>
                <w:szCs w:val="36"/>
              </w:rPr>
              <w:t>(201</w:t>
            </w:r>
            <w:r>
              <w:rPr>
                <w:rFonts w:hint="eastAsia"/>
                <w:color w:val="000000"/>
                <w:sz w:val="36"/>
                <w:szCs w:val="36"/>
              </w:rPr>
              <w:t>9</w:t>
            </w:r>
            <w:r>
              <w:rPr>
                <w:color w:val="000000"/>
                <w:sz w:val="36"/>
                <w:szCs w:val="36"/>
              </w:rPr>
              <w:t xml:space="preserve"> </w:t>
            </w:r>
            <w:r>
              <w:rPr>
                <w:rFonts w:hint="eastAsia"/>
                <w:color w:val="000000"/>
                <w:sz w:val="36"/>
                <w:szCs w:val="36"/>
              </w:rPr>
              <w:t>年度</w:t>
            </w:r>
            <w:r>
              <w:rPr>
                <w:color w:val="000000"/>
                <w:sz w:val="36"/>
                <w:szCs w:val="36"/>
              </w:rPr>
              <w:t>)</w:t>
            </w:r>
          </w:p>
        </w:tc>
      </w:tr>
      <w:tr>
        <w:tblPrEx>
          <w:tblCellMar>
            <w:top w:w="0" w:type="dxa"/>
            <w:left w:w="0" w:type="dxa"/>
            <w:bottom w:w="0" w:type="dxa"/>
            <w:right w:w="0" w:type="dxa"/>
          </w:tblCellMar>
        </w:tblPrEx>
        <w:trPr>
          <w:trHeight w:val="276" w:hRule="atLeast"/>
        </w:trPr>
        <w:tc>
          <w:tcPr>
            <w:tcW w:w="278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项目名称</w:t>
            </w:r>
          </w:p>
        </w:tc>
        <w:tc>
          <w:tcPr>
            <w:tcW w:w="7178"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养老金银行代发手续费</w:t>
            </w:r>
          </w:p>
        </w:tc>
      </w:tr>
      <w:tr>
        <w:tblPrEx>
          <w:tblCellMar>
            <w:top w:w="0" w:type="dxa"/>
            <w:left w:w="0" w:type="dxa"/>
            <w:bottom w:w="0" w:type="dxa"/>
            <w:right w:w="0" w:type="dxa"/>
          </w:tblCellMar>
        </w:tblPrEx>
        <w:trPr>
          <w:trHeight w:val="276" w:hRule="atLeast"/>
        </w:trPr>
        <w:tc>
          <w:tcPr>
            <w:tcW w:w="278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预算单位</w:t>
            </w:r>
          </w:p>
        </w:tc>
        <w:tc>
          <w:tcPr>
            <w:tcW w:w="7178"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遂宁市社会保险事业管理局</w:t>
            </w:r>
          </w:p>
        </w:tc>
      </w:tr>
      <w:tr>
        <w:tblPrEx>
          <w:tblCellMar>
            <w:top w:w="0" w:type="dxa"/>
            <w:left w:w="0" w:type="dxa"/>
            <w:bottom w:w="0" w:type="dxa"/>
            <w:right w:w="0" w:type="dxa"/>
          </w:tblCellMar>
        </w:tblPrEx>
        <w:trPr>
          <w:trHeight w:val="276"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预算执行情况</w:t>
            </w:r>
            <w:r>
              <w:rPr>
                <w:rFonts w:ascii="仿宋_GB2312" w:eastAsia="仿宋_GB2312" w:cs="仿宋_GB2312"/>
                <w:color w:val="000000"/>
              </w:rPr>
              <w:t>(</w:t>
            </w:r>
            <w:r>
              <w:rPr>
                <w:rFonts w:hint="eastAsia" w:ascii="仿宋_GB2312" w:eastAsia="仿宋_GB2312" w:cs="仿宋_GB2312"/>
                <w:color w:val="000000"/>
              </w:rPr>
              <w:t>万元</w:t>
            </w:r>
            <w:r>
              <w:rPr>
                <w:rFonts w:ascii="仿宋_GB2312" w:eastAsia="仿宋_GB2312" w:cs="仿宋_GB2312"/>
                <w:color w:val="000000"/>
              </w:rPr>
              <w:t>)</w:t>
            </w:r>
          </w:p>
        </w:tc>
        <w:tc>
          <w:tcPr>
            <w:tcW w:w="192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预算数</w:t>
            </w:r>
            <w:r>
              <w:rPr>
                <w:rFonts w:ascii="仿宋_GB2312" w:eastAsia="仿宋_GB2312" w:cs="仿宋_GB2312"/>
                <w:color w:val="000000"/>
              </w:rPr>
              <w:t>:</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2</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执行数</w:t>
            </w:r>
            <w:r>
              <w:rPr>
                <w:rFonts w:ascii="仿宋_GB2312" w:eastAsia="仿宋_GB2312" w:cs="仿宋_GB2312"/>
                <w:color w:val="000000"/>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2</w:t>
            </w:r>
          </w:p>
        </w:tc>
      </w:tr>
      <w:tr>
        <w:tblPrEx>
          <w:tblCellMar>
            <w:top w:w="0" w:type="dxa"/>
            <w:left w:w="0" w:type="dxa"/>
            <w:bottom w:w="0" w:type="dxa"/>
            <w:right w:w="0" w:type="dxa"/>
          </w:tblCellMar>
        </w:tblPrEx>
        <w:trPr>
          <w:trHeight w:val="276"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92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其中</w:t>
            </w:r>
            <w:r>
              <w:rPr>
                <w:rFonts w:ascii="仿宋_GB2312" w:eastAsia="仿宋_GB2312" w:cs="仿宋_GB2312"/>
                <w:color w:val="000000"/>
              </w:rPr>
              <w:t>-</w:t>
            </w:r>
            <w:r>
              <w:rPr>
                <w:rFonts w:hint="eastAsia" w:ascii="仿宋_GB2312" w:eastAsia="仿宋_GB2312" w:cs="仿宋_GB2312"/>
                <w:color w:val="000000"/>
              </w:rPr>
              <w:t>财政拨款</w:t>
            </w:r>
            <w:r>
              <w:rPr>
                <w:rFonts w:ascii="仿宋_GB2312" w:eastAsia="仿宋_GB2312" w:cs="仿宋_GB2312"/>
                <w:color w:val="000000"/>
              </w:rPr>
              <w:t>:</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2</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其中</w:t>
            </w:r>
            <w:r>
              <w:rPr>
                <w:rFonts w:ascii="仿宋_GB2312" w:eastAsia="仿宋_GB2312" w:cs="仿宋_GB2312"/>
                <w:color w:val="000000"/>
              </w:rPr>
              <w:t>-</w:t>
            </w:r>
            <w:r>
              <w:rPr>
                <w:rFonts w:hint="eastAsia" w:ascii="仿宋_GB2312" w:eastAsia="仿宋_GB2312" w:cs="仿宋_GB2312"/>
                <w:color w:val="000000"/>
              </w:rPr>
              <w:t>财政拨款</w:t>
            </w:r>
            <w:r>
              <w:rPr>
                <w:rFonts w:ascii="仿宋_GB2312" w:eastAsia="仿宋_GB2312" w:cs="仿宋_GB2312"/>
                <w:color w:val="000000"/>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2</w:t>
            </w:r>
          </w:p>
        </w:tc>
      </w:tr>
      <w:tr>
        <w:tblPrEx>
          <w:tblCellMar>
            <w:top w:w="0" w:type="dxa"/>
            <w:left w:w="0" w:type="dxa"/>
            <w:bottom w:w="0" w:type="dxa"/>
            <w:right w:w="0" w:type="dxa"/>
          </w:tblCellMar>
        </w:tblPrEx>
        <w:trPr>
          <w:trHeight w:val="1511"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92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其它资金</w:t>
            </w:r>
            <w:r>
              <w:rPr>
                <w:rFonts w:ascii="仿宋_GB2312" w:eastAsia="仿宋_GB2312" w:cs="仿宋_GB2312"/>
                <w:color w:val="000000"/>
              </w:rPr>
              <w:t>:</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ascii="仿宋_GB2312" w:eastAsia="仿宋_GB2312" w:cs="仿宋_GB2312"/>
                <w:color w:val="000000"/>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其它资金</w:t>
            </w:r>
            <w:r>
              <w:rPr>
                <w:rFonts w:ascii="仿宋_GB2312" w:eastAsia="仿宋_GB2312" w:cs="仿宋_GB2312"/>
                <w:color w:val="000000"/>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rPr>
            </w:pPr>
          </w:p>
        </w:tc>
      </w:tr>
      <w:tr>
        <w:tblPrEx>
          <w:tblCellMar>
            <w:top w:w="0" w:type="dxa"/>
            <w:left w:w="0" w:type="dxa"/>
            <w:bottom w:w="0" w:type="dxa"/>
            <w:right w:w="0" w:type="dxa"/>
          </w:tblCellMar>
        </w:tblPrEx>
        <w:trPr>
          <w:trHeight w:val="276"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年度目标完成情况</w:t>
            </w:r>
          </w:p>
        </w:tc>
        <w:tc>
          <w:tcPr>
            <w:tcW w:w="4319"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预期目标</w:t>
            </w:r>
          </w:p>
        </w:tc>
        <w:tc>
          <w:tcPr>
            <w:tcW w:w="478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实际完成目标</w:t>
            </w:r>
          </w:p>
        </w:tc>
      </w:tr>
      <w:tr>
        <w:tblPrEx>
          <w:tblCellMar>
            <w:top w:w="0" w:type="dxa"/>
            <w:left w:w="0" w:type="dxa"/>
            <w:bottom w:w="0" w:type="dxa"/>
            <w:right w:w="0" w:type="dxa"/>
          </w:tblCellMar>
        </w:tblPrEx>
        <w:trPr>
          <w:trHeight w:val="1159"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4319"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rPr>
            </w:pPr>
            <w:r>
              <w:rPr>
                <w:rFonts w:hint="eastAsia" w:ascii="仿宋_GB2312" w:eastAsia="仿宋_GB2312" w:cs="仿宋_GB2312"/>
                <w:color w:val="000000"/>
              </w:rPr>
              <w:t>提升管理服务水平，确保每月养老金准时发放；维护参保人员权益，确保离退休人员按时领取养老待遇</w:t>
            </w:r>
          </w:p>
        </w:tc>
        <w:tc>
          <w:tcPr>
            <w:tcW w:w="478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每月为市本级</w:t>
            </w:r>
            <w:r>
              <w:rPr>
                <w:rFonts w:ascii="仿宋_GB2312" w:eastAsia="仿宋_GB2312" w:cs="仿宋_GB2312"/>
                <w:color w:val="000000"/>
              </w:rPr>
              <w:t>8.3</w:t>
            </w:r>
            <w:r>
              <w:rPr>
                <w:rFonts w:hint="eastAsia" w:ascii="仿宋_GB2312" w:eastAsia="仿宋_GB2312" w:cs="仿宋_GB2312"/>
                <w:color w:val="000000"/>
              </w:rPr>
              <w:t>万离退休人员准时发放养老待遇，全年共支付养老金</w:t>
            </w:r>
            <w:r>
              <w:rPr>
                <w:rFonts w:ascii="仿宋_GB2312" w:eastAsia="仿宋_GB2312" w:cs="仿宋_GB2312"/>
                <w:color w:val="000000"/>
              </w:rPr>
              <w:t>18</w:t>
            </w:r>
            <w:r>
              <w:rPr>
                <w:rFonts w:hint="eastAsia" w:ascii="仿宋_GB2312" w:eastAsia="仿宋_GB2312" w:cs="仿宋_GB2312"/>
                <w:color w:val="000000"/>
              </w:rPr>
              <w:t>亿元</w:t>
            </w:r>
          </w:p>
        </w:tc>
      </w:tr>
      <w:tr>
        <w:tblPrEx>
          <w:tblCellMar>
            <w:top w:w="0" w:type="dxa"/>
            <w:left w:w="0" w:type="dxa"/>
            <w:bottom w:w="0" w:type="dxa"/>
            <w:right w:w="0" w:type="dxa"/>
          </w:tblCellMar>
        </w:tblPrEx>
        <w:trPr>
          <w:trHeight w:val="1042"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绩效指标完成情况</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一级指标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二级指标</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预期指标值</w:t>
            </w:r>
            <w:r>
              <w:rPr>
                <w:rFonts w:ascii="仿宋_GB2312" w:eastAsia="仿宋_GB2312" w:cs="仿宋_GB2312"/>
                <w:color w:val="000000"/>
              </w:rPr>
              <w:t>(</w:t>
            </w:r>
            <w:r>
              <w:rPr>
                <w:rFonts w:hint="eastAsia" w:ascii="仿宋_GB2312" w:eastAsia="仿宋_GB2312" w:cs="仿宋_GB2312"/>
                <w:color w:val="000000"/>
              </w:rPr>
              <w:t>包含数字及文字描述</w:t>
            </w:r>
            <w:r>
              <w:rPr>
                <w:rFonts w:ascii="仿宋_GB2312" w:eastAsia="仿宋_GB2312" w:cs="仿宋_GB2312"/>
                <w:color w:val="000000"/>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实际完成指标值</w:t>
            </w:r>
            <w:r>
              <w:rPr>
                <w:rFonts w:ascii="仿宋_GB2312" w:eastAsia="仿宋_GB2312" w:cs="仿宋_GB2312"/>
                <w:color w:val="000000"/>
              </w:rPr>
              <w:t>(</w:t>
            </w:r>
            <w:r>
              <w:rPr>
                <w:rFonts w:hint="eastAsia" w:ascii="仿宋_GB2312" w:eastAsia="仿宋_GB2312" w:cs="仿宋_GB2312"/>
                <w:color w:val="000000"/>
              </w:rPr>
              <w:t>包含数字及文字描述</w:t>
            </w:r>
            <w:r>
              <w:rPr>
                <w:rFonts w:ascii="仿宋_GB2312" w:eastAsia="仿宋_GB2312" w:cs="仿宋_GB2312"/>
                <w:color w:val="000000"/>
              </w:rPr>
              <w:t>)</w:t>
            </w:r>
          </w:p>
        </w:tc>
      </w:tr>
      <w:tr>
        <w:tblPrEx>
          <w:tblCellMar>
            <w:top w:w="0" w:type="dxa"/>
            <w:left w:w="0" w:type="dxa"/>
            <w:bottom w:w="0" w:type="dxa"/>
            <w:right w:w="0" w:type="dxa"/>
          </w:tblCellMar>
        </w:tblPrEx>
        <w:trPr>
          <w:trHeight w:val="953"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数量指标</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养老金待遇领取人数</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ascii="仿宋_GB2312" w:eastAsia="仿宋_GB2312" w:cs="仿宋_GB2312"/>
                <w:color w:val="000000"/>
              </w:rPr>
              <w:t>8.3</w:t>
            </w:r>
            <w:r>
              <w:rPr>
                <w:rFonts w:hint="eastAsia" w:ascii="仿宋_GB2312" w:eastAsia="仿宋_GB2312" w:cs="仿宋_GB2312"/>
                <w:color w:val="000000"/>
              </w:rPr>
              <w:t>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ascii="仿宋_GB2312" w:eastAsia="仿宋_GB2312" w:cs="仿宋_GB2312"/>
                <w:color w:val="000000"/>
              </w:rPr>
              <w:t>8.3</w:t>
            </w:r>
            <w:r>
              <w:rPr>
                <w:rFonts w:hint="eastAsia" w:ascii="仿宋_GB2312" w:eastAsia="仿宋_GB2312" w:cs="仿宋_GB2312"/>
                <w:color w:val="000000"/>
              </w:rPr>
              <w:t>万</w:t>
            </w:r>
          </w:p>
        </w:tc>
      </w:tr>
      <w:tr>
        <w:tblPrEx>
          <w:tblCellMar>
            <w:top w:w="0" w:type="dxa"/>
            <w:left w:w="0" w:type="dxa"/>
            <w:bottom w:w="0" w:type="dxa"/>
            <w:right w:w="0" w:type="dxa"/>
          </w:tblCellMar>
        </w:tblPrEx>
        <w:trPr>
          <w:trHeight w:val="1297"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质量指标</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养老金待遇发放金额</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每月</w:t>
            </w:r>
            <w:r>
              <w:rPr>
                <w:rFonts w:ascii="仿宋_GB2312" w:eastAsia="仿宋_GB2312" w:cs="仿宋_GB2312"/>
                <w:color w:val="000000"/>
              </w:rPr>
              <w:t>1.5</w:t>
            </w:r>
            <w:r>
              <w:rPr>
                <w:rFonts w:hint="eastAsia" w:ascii="仿宋_GB2312" w:eastAsia="仿宋_GB2312" w:cs="仿宋_GB2312"/>
                <w:color w:val="000000"/>
              </w:rPr>
              <w:t>亿</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每月</w:t>
            </w:r>
            <w:r>
              <w:rPr>
                <w:rFonts w:ascii="仿宋_GB2312" w:eastAsia="仿宋_GB2312" w:cs="仿宋_GB2312"/>
                <w:color w:val="000000"/>
              </w:rPr>
              <w:t>1.5</w:t>
            </w:r>
            <w:r>
              <w:rPr>
                <w:rFonts w:hint="eastAsia" w:ascii="仿宋_GB2312" w:eastAsia="仿宋_GB2312" w:cs="仿宋_GB2312"/>
                <w:color w:val="000000"/>
              </w:rPr>
              <w:t>亿</w:t>
            </w:r>
          </w:p>
        </w:tc>
      </w:tr>
      <w:tr>
        <w:tblPrEx>
          <w:tblCellMar>
            <w:top w:w="0" w:type="dxa"/>
            <w:left w:w="0" w:type="dxa"/>
            <w:bottom w:w="0" w:type="dxa"/>
            <w:right w:w="0" w:type="dxa"/>
          </w:tblCellMar>
        </w:tblPrEx>
        <w:trPr>
          <w:trHeight w:val="1042"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时效指标</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发放到位率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100%</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ascii="仿宋_GB2312" w:eastAsia="仿宋_GB2312" w:cs="仿宋_GB2312"/>
                <w:color w:val="000000"/>
              </w:rPr>
              <w:t>100%</w:t>
            </w:r>
          </w:p>
        </w:tc>
      </w:tr>
      <w:tr>
        <w:tblPrEx>
          <w:tblCellMar>
            <w:top w:w="0" w:type="dxa"/>
            <w:left w:w="0" w:type="dxa"/>
            <w:bottom w:w="0" w:type="dxa"/>
            <w:right w:w="0" w:type="dxa"/>
          </w:tblCellMar>
        </w:tblPrEx>
        <w:trPr>
          <w:trHeight w:val="1042"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效益指标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社会效益</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民生保障</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确保待遇按时、足额发放，为民生保障、社会稳定提供了有力支持</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确保待遇按时、足额发放，为民生保障、社会稳定提供了有力支持</w:t>
            </w:r>
          </w:p>
        </w:tc>
      </w:tr>
      <w:tr>
        <w:tblPrEx>
          <w:tblCellMar>
            <w:top w:w="0" w:type="dxa"/>
            <w:left w:w="0" w:type="dxa"/>
            <w:bottom w:w="0" w:type="dxa"/>
            <w:right w:w="0" w:type="dxa"/>
          </w:tblCellMar>
        </w:tblPrEx>
        <w:trPr>
          <w:trHeight w:val="1042"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效益指标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可持续效益</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可持续性</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每月按时发放，是一项长期可持续性工作</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每月按时发放，是一项长期可持续性工作</w:t>
            </w:r>
          </w:p>
        </w:tc>
      </w:tr>
      <w:tr>
        <w:tblPrEx>
          <w:tblCellMar>
            <w:top w:w="0" w:type="dxa"/>
            <w:left w:w="0" w:type="dxa"/>
            <w:bottom w:w="0" w:type="dxa"/>
            <w:right w:w="0" w:type="dxa"/>
          </w:tblCellMar>
        </w:tblPrEx>
        <w:trPr>
          <w:trHeight w:val="1042"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满意度指标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群众满意度</w:t>
            </w:r>
          </w:p>
        </w:tc>
        <w:tc>
          <w:tcPr>
            <w:tcW w:w="211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ascii="仿宋_GB2312" w:eastAsia="仿宋_GB2312" w:cs="仿宋_GB2312"/>
                <w:color w:val="000000"/>
              </w:rPr>
              <w:t>待遇领取人员满意度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ascii="仿宋_GB2312" w:eastAsia="仿宋_GB2312" w:cs="仿宋_GB2312"/>
                <w:color w:val="000000"/>
              </w:rPr>
              <w:t>95%</w:t>
            </w:r>
            <w:r>
              <w:rPr>
                <w:rFonts w:hint="eastAsia" w:ascii="仿宋_GB2312" w:eastAsia="仿宋_GB2312" w:cs="仿宋_GB2312"/>
                <w:color w:val="000000"/>
              </w:rPr>
              <w:t>以上</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ascii="仿宋_GB2312" w:eastAsia="仿宋_GB2312" w:cs="仿宋_GB2312"/>
                <w:color w:val="000000"/>
              </w:rPr>
              <w:t>95%</w:t>
            </w:r>
            <w:r>
              <w:rPr>
                <w:rFonts w:hint="eastAsia" w:ascii="仿宋_GB2312" w:eastAsia="仿宋_GB2312" w:cs="仿宋_GB2312"/>
                <w:color w:val="000000"/>
              </w:rPr>
              <w:t>以上</w:t>
            </w:r>
          </w:p>
        </w:tc>
      </w:tr>
      <w:tr>
        <w:tblPrEx>
          <w:tblCellMar>
            <w:top w:w="0" w:type="dxa"/>
            <w:left w:w="0" w:type="dxa"/>
            <w:bottom w:w="0" w:type="dxa"/>
            <w:right w:w="0" w:type="dxa"/>
          </w:tblCellMar>
        </w:tblPrEx>
        <w:trPr>
          <w:trHeight w:val="1034" w:hRule="atLeast"/>
        </w:trPr>
        <w:tc>
          <w:tcPr>
            <w:tcW w:w="9960" w:type="dxa"/>
            <w:gridSpan w:val="17"/>
            <w:tcMar>
              <w:top w:w="15" w:type="dxa"/>
              <w:left w:w="15" w:type="dxa"/>
              <w:bottom w:w="0" w:type="dxa"/>
              <w:right w:w="15" w:type="dxa"/>
            </w:tcMar>
            <w:vAlign w:val="center"/>
          </w:tcPr>
          <w:p>
            <w:pPr>
              <w:jc w:val="center"/>
              <w:textAlignment w:val="center"/>
              <w:rPr>
                <w:rFonts w:hint="eastAsia"/>
                <w:b/>
                <w:bCs/>
                <w:color w:val="000000"/>
                <w:sz w:val="36"/>
                <w:szCs w:val="36"/>
              </w:rPr>
            </w:pPr>
          </w:p>
          <w:p>
            <w:pPr>
              <w:jc w:val="center"/>
              <w:textAlignment w:val="center"/>
              <w:rPr>
                <w:rFonts w:hint="eastAsia" w:eastAsia="宋体"/>
                <w:b/>
                <w:bCs/>
                <w:color w:val="000000"/>
                <w:sz w:val="36"/>
                <w:szCs w:val="36"/>
                <w:lang w:eastAsia="zh-CN"/>
              </w:rPr>
            </w:pPr>
            <w:r>
              <w:rPr>
                <w:rFonts w:hint="eastAsia"/>
                <w:b/>
                <w:bCs/>
                <w:color w:val="000000"/>
                <w:sz w:val="36"/>
                <w:szCs w:val="36"/>
              </w:rPr>
              <w:t>项目绩效目标完成情况表</w:t>
            </w:r>
          </w:p>
          <w:p>
            <w:pPr>
              <w:jc w:val="center"/>
              <w:textAlignment w:val="center"/>
              <w:rPr>
                <w:color w:val="000000"/>
                <w:sz w:val="36"/>
                <w:szCs w:val="36"/>
              </w:rPr>
            </w:pPr>
            <w:r>
              <w:rPr>
                <w:rFonts w:hint="eastAsia"/>
                <w:color w:val="000000"/>
                <w:sz w:val="36"/>
                <w:szCs w:val="36"/>
              </w:rPr>
              <w:t>(2019 年度)</w:t>
            </w:r>
          </w:p>
        </w:tc>
      </w:tr>
      <w:tr>
        <w:tblPrEx>
          <w:tblCellMar>
            <w:top w:w="0" w:type="dxa"/>
            <w:left w:w="0" w:type="dxa"/>
            <w:bottom w:w="0" w:type="dxa"/>
            <w:right w:w="0" w:type="dxa"/>
          </w:tblCellMar>
        </w:tblPrEx>
        <w:trPr>
          <w:trHeight w:val="276" w:hRule="atLeast"/>
        </w:trPr>
        <w:tc>
          <w:tcPr>
            <w:tcW w:w="278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项目名称</w:t>
            </w:r>
          </w:p>
        </w:tc>
        <w:tc>
          <w:tcPr>
            <w:tcW w:w="7178"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color w:val="000000"/>
              </w:rPr>
            </w:pPr>
            <w:r>
              <w:rPr>
                <w:rFonts w:hint="eastAsia"/>
                <w:color w:val="000000"/>
              </w:rPr>
              <w:t>失业保险管理工作经费</w:t>
            </w:r>
          </w:p>
        </w:tc>
      </w:tr>
      <w:tr>
        <w:tblPrEx>
          <w:tblCellMar>
            <w:top w:w="0" w:type="dxa"/>
            <w:left w:w="0" w:type="dxa"/>
            <w:bottom w:w="0" w:type="dxa"/>
            <w:right w:w="0" w:type="dxa"/>
          </w:tblCellMar>
        </w:tblPrEx>
        <w:trPr>
          <w:trHeight w:val="276" w:hRule="atLeast"/>
        </w:trPr>
        <w:tc>
          <w:tcPr>
            <w:tcW w:w="278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预算单位</w:t>
            </w:r>
          </w:p>
        </w:tc>
        <w:tc>
          <w:tcPr>
            <w:tcW w:w="7178"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color w:val="000000"/>
              </w:rPr>
            </w:pPr>
            <w:r>
              <w:rPr>
                <w:rFonts w:hint="eastAsia"/>
                <w:color w:val="000000"/>
              </w:rPr>
              <w:t>遂宁市就业服务管理局</w:t>
            </w:r>
          </w:p>
        </w:tc>
      </w:tr>
      <w:tr>
        <w:tblPrEx>
          <w:tblCellMar>
            <w:top w:w="0" w:type="dxa"/>
            <w:left w:w="0" w:type="dxa"/>
            <w:bottom w:w="0" w:type="dxa"/>
            <w:right w:w="0" w:type="dxa"/>
          </w:tblCellMar>
        </w:tblPrEx>
        <w:trPr>
          <w:trHeight w:val="276" w:hRule="atLeast"/>
        </w:trPr>
        <w:tc>
          <w:tcPr>
            <w:tcW w:w="10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预算执行情况(万元)</w:t>
            </w:r>
          </w:p>
        </w:tc>
        <w:tc>
          <w:tcPr>
            <w:tcW w:w="171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预算数:</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0.5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执行数:</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0.5</w:t>
            </w:r>
          </w:p>
        </w:tc>
      </w:tr>
      <w:tr>
        <w:tblPrEx>
          <w:tblCellMar>
            <w:top w:w="0" w:type="dxa"/>
            <w:left w:w="0" w:type="dxa"/>
            <w:bottom w:w="0" w:type="dxa"/>
            <w:right w:w="0" w:type="dxa"/>
          </w:tblCellMar>
        </w:tblPrEx>
        <w:trPr>
          <w:trHeight w:val="276"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71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其中-财政拨款:</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0.5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其中-财政拨款:</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0.5</w:t>
            </w:r>
          </w:p>
        </w:tc>
      </w:tr>
      <w:tr>
        <w:tblPrEx>
          <w:tblCellMar>
            <w:top w:w="0" w:type="dxa"/>
            <w:left w:w="0" w:type="dxa"/>
            <w:bottom w:w="0" w:type="dxa"/>
            <w:right w:w="0" w:type="dxa"/>
          </w:tblCellMar>
        </w:tblPrEx>
        <w:trPr>
          <w:trHeight w:val="1511"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71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其它资金:</w:t>
            </w:r>
          </w:p>
        </w:tc>
        <w:tc>
          <w:tcPr>
            <w:tcW w:w="2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其它资金:</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rPr>
            </w:pPr>
          </w:p>
        </w:tc>
      </w:tr>
      <w:tr>
        <w:tblPrEx>
          <w:tblCellMar>
            <w:top w:w="0" w:type="dxa"/>
            <w:left w:w="0" w:type="dxa"/>
            <w:bottom w:w="0" w:type="dxa"/>
            <w:right w:w="0" w:type="dxa"/>
          </w:tblCellMar>
        </w:tblPrEx>
        <w:trPr>
          <w:trHeight w:val="276" w:hRule="atLeast"/>
        </w:trPr>
        <w:tc>
          <w:tcPr>
            <w:tcW w:w="10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年度目标完成情况</w:t>
            </w:r>
          </w:p>
        </w:tc>
        <w:tc>
          <w:tcPr>
            <w:tcW w:w="4109"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预期目标</w:t>
            </w:r>
          </w:p>
        </w:tc>
        <w:tc>
          <w:tcPr>
            <w:tcW w:w="478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实际完成目标</w:t>
            </w:r>
          </w:p>
        </w:tc>
      </w:tr>
      <w:tr>
        <w:tblPrEx>
          <w:tblCellMar>
            <w:top w:w="0" w:type="dxa"/>
            <w:left w:w="0" w:type="dxa"/>
            <w:bottom w:w="0" w:type="dxa"/>
            <w:right w:w="0" w:type="dxa"/>
          </w:tblCellMar>
        </w:tblPrEx>
        <w:trPr>
          <w:trHeight w:val="3283"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4109"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rPr>
                <w:rFonts w:ascii="仿宋_GB2312" w:eastAsia="仿宋_GB2312"/>
                <w:color w:val="000000"/>
              </w:rPr>
            </w:pPr>
            <w:r>
              <w:rPr>
                <w:rFonts w:hint="eastAsia"/>
                <w:color w:val="000000"/>
              </w:rPr>
              <w:t>做好失业保险服务工作</w:t>
            </w:r>
          </w:p>
        </w:tc>
        <w:tc>
          <w:tcPr>
            <w:tcW w:w="478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00" w:lineRule="exact"/>
              <w:ind w:firstLine="480" w:firstLineChars="200"/>
              <w:rPr>
                <w:rFonts w:ascii="仿宋_GB2312" w:hAnsi="仿宋" w:eastAsia="仿宋_GB2312"/>
              </w:rPr>
            </w:pPr>
            <w:r>
              <w:rPr>
                <w:rFonts w:hint="eastAsia"/>
              </w:rPr>
              <w:t>通过项目实施，继续实施阶段性降费政策，切实减轻企业和职工负担。全年为3.25万人次发放失业保险金4352.65万元，为3.13万人次代缴医疗保险费1185.94万元；为321户企业发放稳岗返还资金1077.67万元，惠及职工4.37万人；为401名人员发放技能提升补贴57.7万元；为42户企业发放阶段性困难企业稳岗补贴资金1870.76万元，惠及职工4900人。</w:t>
            </w:r>
          </w:p>
        </w:tc>
      </w:tr>
      <w:tr>
        <w:tblPrEx>
          <w:tblCellMar>
            <w:top w:w="0" w:type="dxa"/>
            <w:left w:w="0" w:type="dxa"/>
            <w:bottom w:w="0" w:type="dxa"/>
            <w:right w:w="0" w:type="dxa"/>
          </w:tblCellMar>
        </w:tblPrEx>
        <w:trPr>
          <w:trHeight w:val="791" w:hRule="atLeast"/>
        </w:trPr>
        <w:tc>
          <w:tcPr>
            <w:tcW w:w="10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绩效指标完成情况</w:t>
            </w: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一级指标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二级指标</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预期指标值(包含数字及文字描述)</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rPr>
            </w:pPr>
            <w:r>
              <w:rPr>
                <w:rFonts w:hint="eastAsia"/>
                <w:color w:val="000000"/>
              </w:rPr>
              <w:t>实际完成指标值(包含数字及文字描述)</w:t>
            </w:r>
          </w:p>
        </w:tc>
      </w:tr>
      <w:tr>
        <w:tblPrEx>
          <w:tblCellMar>
            <w:top w:w="0" w:type="dxa"/>
            <w:left w:w="0" w:type="dxa"/>
            <w:bottom w:w="0" w:type="dxa"/>
            <w:right w:w="0" w:type="dxa"/>
          </w:tblCellMar>
        </w:tblPrEx>
        <w:trPr>
          <w:trHeight w:val="564"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rPr>
            </w:pPr>
            <w:r>
              <w:rPr>
                <w:rFonts w:hint="eastAsia"/>
                <w:color w:val="000000"/>
              </w:rPr>
              <w:t>数量指标</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服务人数</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6000人次</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&gt;6000人次</w:t>
            </w:r>
          </w:p>
        </w:tc>
      </w:tr>
      <w:tr>
        <w:tblPrEx>
          <w:tblCellMar>
            <w:top w:w="0" w:type="dxa"/>
            <w:left w:w="0" w:type="dxa"/>
            <w:bottom w:w="0" w:type="dxa"/>
            <w:right w:w="0" w:type="dxa"/>
          </w:tblCellMar>
        </w:tblPrEx>
        <w:trPr>
          <w:trHeight w:val="631"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质量指标</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服务质量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100%</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100%</w:t>
            </w:r>
          </w:p>
        </w:tc>
      </w:tr>
      <w:tr>
        <w:tblPrEx>
          <w:tblCellMar>
            <w:top w:w="0" w:type="dxa"/>
            <w:left w:w="0" w:type="dxa"/>
            <w:bottom w:w="0" w:type="dxa"/>
            <w:right w:w="0" w:type="dxa"/>
          </w:tblCellMar>
        </w:tblPrEx>
        <w:trPr>
          <w:trHeight w:val="527"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项目完成指标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时效指标</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完成时间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12月底前</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12月底前</w:t>
            </w:r>
          </w:p>
        </w:tc>
      </w:tr>
      <w:tr>
        <w:tblPrEx>
          <w:tblCellMar>
            <w:top w:w="0" w:type="dxa"/>
            <w:left w:w="0" w:type="dxa"/>
            <w:bottom w:w="0" w:type="dxa"/>
            <w:right w:w="0" w:type="dxa"/>
          </w:tblCellMar>
        </w:tblPrEx>
        <w:trPr>
          <w:trHeight w:val="339"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效益指标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社会效益</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完成目的</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维护社会稳定</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rPr>
                <w:rFonts w:ascii="仿宋_GB2312" w:eastAsia="仿宋_GB2312"/>
                <w:color w:val="000000"/>
              </w:rPr>
            </w:pPr>
            <w:r>
              <w:rPr>
                <w:rFonts w:hint="eastAsia"/>
              </w:rPr>
              <w:t>继续实施阶段性降费政策，切实减轻企业和职工负担</w:t>
            </w:r>
          </w:p>
        </w:tc>
      </w:tr>
      <w:tr>
        <w:tblPrEx>
          <w:tblCellMar>
            <w:top w:w="0" w:type="dxa"/>
            <w:left w:w="0" w:type="dxa"/>
            <w:bottom w:w="0" w:type="dxa"/>
            <w:right w:w="0" w:type="dxa"/>
          </w:tblCellMar>
        </w:tblPrEx>
        <w:trPr>
          <w:trHeight w:val="688"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效益指标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可持续性</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工作期限</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长期性</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长期性</w:t>
            </w:r>
          </w:p>
        </w:tc>
      </w:tr>
      <w:tr>
        <w:tblPrEx>
          <w:tblCellMar>
            <w:top w:w="0" w:type="dxa"/>
            <w:left w:w="0" w:type="dxa"/>
            <w:bottom w:w="0" w:type="dxa"/>
            <w:right w:w="0" w:type="dxa"/>
          </w:tblCellMar>
        </w:tblPrEx>
        <w:trPr>
          <w:trHeight w:val="45" w:hRule="atLeast"/>
        </w:trPr>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rPr>
            </w:pPr>
          </w:p>
        </w:tc>
        <w:tc>
          <w:tcPr>
            <w:tcW w:w="12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满意度指标</w:t>
            </w:r>
          </w:p>
        </w:tc>
        <w:tc>
          <w:tcPr>
            <w:tcW w:w="115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满意度指标</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rPr>
            </w:pPr>
            <w:r>
              <w:rPr>
                <w:rFonts w:hint="eastAsia"/>
                <w:color w:val="000000"/>
              </w:rPr>
              <w:t>社会满意度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90%</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仿宋_GB2312"/>
                <w:color w:val="000000"/>
              </w:rPr>
            </w:pPr>
            <w:r>
              <w:rPr>
                <w:rFonts w:hint="eastAsia"/>
                <w:color w:val="000000"/>
              </w:rPr>
              <w:t>91%</w:t>
            </w:r>
          </w:p>
        </w:tc>
      </w:tr>
    </w:tbl>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b/>
                <w:bCs/>
                <w:color w:val="000000"/>
                <w:sz w:val="36"/>
                <w:szCs w:val="36"/>
              </w:rPr>
            </w:pPr>
          </w:p>
          <w:p>
            <w:pPr>
              <w:jc w:val="center"/>
              <w:textAlignment w:val="center"/>
              <w:rPr>
                <w:rFonts w:hint="eastAsia" w:eastAsia="宋体"/>
                <w:b/>
                <w:bCs/>
                <w:color w:val="000000"/>
                <w:sz w:val="36"/>
                <w:szCs w:val="36"/>
                <w:lang w:eastAsia="zh-CN"/>
              </w:rPr>
            </w:pPr>
            <w:r>
              <w:rPr>
                <w:rFonts w:hint="eastAsia"/>
                <w:b/>
                <w:bCs/>
                <w:color w:val="000000"/>
                <w:sz w:val="36"/>
                <w:szCs w:val="36"/>
              </w:rPr>
              <w:t>项目绩效目标完成情况表</w:t>
            </w:r>
          </w:p>
          <w:p>
            <w:pPr>
              <w:jc w:val="center"/>
              <w:textAlignment w:val="center"/>
              <w:rPr>
                <w:color w:val="000000"/>
                <w:sz w:val="36"/>
                <w:szCs w:val="36"/>
              </w:rPr>
            </w:pPr>
            <w:r>
              <w:rPr>
                <w:rFonts w:hint="eastAsia"/>
                <w:color w:val="00000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农民工维权与公共服务专项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遂宁市人民政府劳务输出办公室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rPr>
            </w:pPr>
            <w:r>
              <w:rPr>
                <w:rFonts w:hint="eastAsia"/>
                <w:color w:val="000000"/>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建立省外农民工维权服务站；开展农民工维权服务活动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建立了2个综合服务站，开展了为期40天的维权服务活动；利用“春风行动”大型招聘活动，搭建了维权服务平台</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服务遂宁籍农民工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1.2万人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2万人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建立农民工维权服务站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2个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投资控制率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既定建设任务没有增加的情况下小于10万元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3万元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2019年</w:t>
            </w:r>
          </w:p>
        </w:tc>
      </w:tr>
      <w:tr>
        <w:tblPrEx>
          <w:tblCellMar>
            <w:top w:w="0" w:type="dxa"/>
            <w:left w:w="0" w:type="dxa"/>
            <w:bottom w:w="0" w:type="dxa"/>
            <w:right w:w="0" w:type="dxa"/>
          </w:tblCellMar>
        </w:tblPrEx>
        <w:trPr>
          <w:trHeight w:val="113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保障农民工合法权益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较明显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带动农民工返乡创业就业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较明显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持续影响时间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长期</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color w:val="00000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rPr>
            </w:pPr>
            <w:r>
              <w:rPr>
                <w:rFonts w:hint="eastAsia"/>
                <w:color w:val="000000"/>
              </w:rPr>
              <w:t>90%</w:t>
            </w:r>
          </w:p>
        </w:tc>
      </w:tr>
    </w:tbl>
    <w:p>
      <w:pPr>
        <w:spacing w:line="580" w:lineRule="exact"/>
        <w:ind w:firstLine="643" w:firstLineChars="200"/>
        <w:rPr>
          <w:rFonts w:hint="eastAsia" w:ascii="楷体_GB2312" w:hAnsi="仿宋" w:eastAsia="楷体_GB2312" w:cs="楷体_GB2312"/>
          <w:b/>
          <w:bCs/>
          <w:sz w:val="32"/>
          <w:szCs w:val="32"/>
        </w:rPr>
      </w:pPr>
    </w:p>
    <w:p>
      <w:pPr>
        <w:spacing w:line="580" w:lineRule="exact"/>
        <w:ind w:firstLine="643" w:firstLineChars="200"/>
        <w:rPr>
          <w:rFonts w:ascii="楷体_GB2312" w:hAnsi="仿宋" w:eastAsia="楷体_GB2312"/>
          <w:b/>
          <w:bCs/>
          <w:sz w:val="32"/>
          <w:szCs w:val="32"/>
        </w:rPr>
      </w:pPr>
      <w:r>
        <w:rPr>
          <w:rFonts w:hint="eastAsia" w:ascii="楷体_GB2312" w:hAnsi="仿宋" w:eastAsia="楷体_GB2312" w:cs="楷体_GB2312"/>
          <w:b/>
          <w:bCs/>
          <w:sz w:val="32"/>
          <w:szCs w:val="32"/>
        </w:rPr>
        <w:t>（三）部门绩效评价结果。</w:t>
      </w:r>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9年部门整体支出绩效评价情况开展自评，《遂宁市人力资源和社会保障部门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19年部门整体支出绩效评价报告》见（附件1）。</w:t>
      </w: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hint="eastAsia" w:ascii="仿宋_GB2312" w:eastAsia="仿宋_GB2312"/>
          <w:color w:val="000000"/>
          <w:sz w:val="32"/>
          <w:szCs w:val="32"/>
        </w:rPr>
      </w:pPr>
    </w:p>
    <w:p>
      <w:pPr>
        <w:autoSpaceDE w:val="0"/>
        <w:autoSpaceDN w:val="0"/>
        <w:adjustRightInd w:val="0"/>
        <w:spacing w:line="600" w:lineRule="exact"/>
        <w:ind w:firstLine="640" w:firstLineChars="200"/>
        <w:rPr>
          <w:rFonts w:ascii="仿宋_GB2312" w:eastAsia="仿宋_GB2312"/>
          <w:color w:val="000000"/>
          <w:sz w:val="32"/>
          <w:szCs w:val="32"/>
        </w:rPr>
      </w:pPr>
    </w:p>
    <w:p>
      <w:pPr>
        <w:numPr>
          <w:ilvl w:val="0"/>
          <w:numId w:val="2"/>
        </w:numPr>
        <w:spacing w:line="600" w:lineRule="exact"/>
        <w:jc w:val="center"/>
        <w:outlineLvl w:val="0"/>
        <w:rPr>
          <w:rFonts w:ascii="黑体" w:hAnsi="黑体" w:eastAsia="黑体"/>
          <w:kern w:val="44"/>
          <w:sz w:val="44"/>
          <w:szCs w:val="44"/>
        </w:rPr>
      </w:pPr>
      <w:bookmarkStart w:id="37" w:name="_Toc15377225"/>
      <w:bookmarkStart w:id="38" w:name="_Toc17205315"/>
      <w:r>
        <w:rPr>
          <w:rFonts w:hint="eastAsia" w:ascii="黑体" w:hAnsi="黑体" w:eastAsia="黑体" w:cs="黑体"/>
          <w:color w:val="000000"/>
          <w:sz w:val="44"/>
          <w:szCs w:val="44"/>
        </w:rPr>
        <w:t>名</w:t>
      </w:r>
      <w:r>
        <w:rPr>
          <w:rStyle w:val="22"/>
          <w:rFonts w:hint="eastAsia" w:ascii="黑体" w:hAnsi="黑体" w:eastAsia="黑体" w:cs="黑体"/>
          <w:b w:val="0"/>
          <w:bCs w:val="0"/>
        </w:rPr>
        <w:t>词解释</w:t>
      </w:r>
      <w:bookmarkEnd w:id="37"/>
      <w:bookmarkEnd w:id="38"/>
    </w:p>
    <w:p>
      <w:pPr>
        <w:spacing w:line="580" w:lineRule="exact"/>
        <w:ind w:firstLine="640" w:firstLineChars="200"/>
        <w:rPr>
          <w:rFonts w:ascii="仿宋_GB2312" w:hAnsi="仿宋_GB2312" w:eastAsia="仿宋_GB2312"/>
          <w:sz w:val="32"/>
          <w:szCs w:val="32"/>
        </w:rPr>
      </w:pPr>
    </w:p>
    <w:p>
      <w:pPr>
        <w:pStyle w:val="31"/>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1"/>
        <w:snapToGrid w:val="0"/>
        <w:spacing w:line="620" w:lineRule="exact"/>
        <w:ind w:firstLine="640" w:firstLineChars="200"/>
        <w:jc w:val="both"/>
        <w:rPr>
          <w:rFonts w:ascii="仿宋_GB2312" w:eastAsia="仿宋_GB2312" w:cs="Times New Roman"/>
          <w:sz w:val="32"/>
          <w:szCs w:val="32"/>
        </w:rPr>
      </w:pPr>
      <w:r>
        <w:rPr>
          <w:rFonts w:hint="eastAsia" w:ascii="仿宋_GB2312" w:hAns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3.其他收入：指除上述“一般公共预算拨款收入”、“经营收入”等以外的收入。主要是部拨经费和省级其他单位横向拨款及利息收入等。</w:t>
      </w:r>
      <w:r>
        <w:rPr>
          <w:rFonts w:ascii="仿宋_GB2312" w:hAnsi="仿宋_GB2312" w:eastAsia="仿宋_GB2312" w:cs="仿宋_GB2312"/>
          <w:sz w:val="32"/>
          <w:szCs w:val="32"/>
        </w:rPr>
        <w:t xml:space="preserve"> </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4.年初结余和结转：指以前年度支出预算因客观条件变化未执行完毕、结转到本年仍按有关规定继续使用的资金或项目已完成等产生的结余资金。</w:t>
      </w:r>
      <w:r>
        <w:rPr>
          <w:rFonts w:ascii="仿宋_GB2312" w:hAnsi="仿宋_GB2312" w:eastAsia="仿宋_GB2312" w:cs="仿宋_GB2312"/>
          <w:sz w:val="32"/>
          <w:szCs w:val="32"/>
        </w:rPr>
        <w:t xml:space="preserve"> </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5.一般公共服务支出（类）人力资源事务（款）：指人力资源和社会保障部门履行一般公共服务职能的支出。</w:t>
      </w:r>
      <w:r>
        <w:rPr>
          <w:rFonts w:ascii="仿宋_GB2312" w:hAnsi="仿宋_GB2312" w:eastAsia="仿宋_GB2312" w:cs="仿宋_GB2312"/>
          <w:sz w:val="32"/>
          <w:szCs w:val="32"/>
        </w:rPr>
        <w:t xml:space="preserve"> </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其他人力资源事务支出（项）：指人力资源社会保障部门用于人力资源事务其他人力资源事务方面的支出。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6.社会保障和就业支出（类）人力资源和社会保障管理事务（款）：主要用于人力资源社会保障管理事务支出。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(1)行政运行（项）：主要用于厅机关基本支出。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(2)一般行政管理事务（项）：指厅机关未单独设置项级科目的其他项目支出。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(3)劳动保障监察（项）：主要用于劳动保障监察事务支出。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(4)信息化建设（项）：主要用于信息化建设、运行维护和数据分析等方面的支出。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(5)公共就业服务和职业技能鉴定机构（项）：主要用于职业技能鉴定管理等方面的支出。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(6)劳动人事争议调解仲裁（项）：主要用于仲裁机构实体化建设、办案经费、调解仲裁能力建设等支出。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(7)其他人力资源和社会保障管理事务支出（项）：主要用于所属事业单位的项目支出。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7.社会保障和就业支出（类）行政事业单位离退（款）：指人力资源和社会保障部门主要用于机关离退休人员的经费。</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(1）事业单位离退休（项）：主要用于事业单位离退休人员公用经费。</w:t>
      </w:r>
    </w:p>
    <w:p>
      <w:pPr>
        <w:adjustRightInd w:val="0"/>
        <w:snapToGrid w:val="0"/>
        <w:spacing w:line="620" w:lineRule="exact"/>
        <w:rPr>
          <w:rFonts w:ascii="仿宋_GB2312" w:hAnsi="仿宋_GB2312" w:eastAsia="仿宋_GB2312"/>
          <w:sz w:val="32"/>
          <w:szCs w:val="32"/>
        </w:rPr>
      </w:pPr>
      <w:r>
        <w:rPr>
          <w:rFonts w:hint="eastAsia" w:ascii="仿宋_GB2312" w:hAnsi="仿宋_GB2312" w:eastAsia="仿宋_GB2312" w:cs="仿宋_GB2312"/>
          <w:sz w:val="32"/>
          <w:szCs w:val="32"/>
        </w:rPr>
        <w:t xml:space="preserve">   （2）未归口管理的行政单位离退休（项）：主要用于离退休干部局统一管理的机关离退休经费。</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（3）机关事业单位基本养老保险缴费支出（项）：主要用于厅行政单位和所属事业单位在职人员缴纳基本养老保险</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（4）机关事业单位职业年金缴费支出（项）：主要用于厅行政单位和所属事业单位在职人员缴纳职业年金。</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8.社会保障和就业支出（类）就业补助（款）其他就业服务补助支出（项）：人力资源和社会保障部门用于就业方面的补助。</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9.社会保障和就业支出（类）抚恤（款）死亡抚恤（项）：指在职和离退休人员去世丧葬、抚恤费。</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10.社会保障和就业支出（类）其他社会保障和就业支出（款）其他社会保障和就业支出（项）：人力资源和社会保障部门用于其他促进就业方面的补助。</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11.医疗卫生与计划生育支出（类）行政事业单位医疗（款）：主要用于厅机关及厅属单位按照国家政策规定用于医疗保障缴费支出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（1）行政单位医疗（项）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主要用于厅机关及参公单位按照国家政策规定用于基本医疗缴费支出。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（2）事业单位医疗（项）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主要用于厅属事业单位按照国家政策规定用于基本医疗缴费支出。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（3）公务员医疗补助（项）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主要用于厅机关及参公单位按照国家政策规定用于公务员医疗缴费支出。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12住房保障支出（类）住房改革支出（款）：主要用于厅机关及厅属单位按照国家政策规定用于住房改革方面的支出。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住房公积金（项）：是按照《住房公积金管理条例》的规定，由单位及其在职职工缴存的长期住房储金。该项政策始于上世纪九十年代中期，在全国机关、企事业单位在职职工中普遍实施，缴存比例最低不低于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，最高不超过</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，缴存基数为职工本人上年工资，目前已实施近</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13.基本支出：指为保障机构正常运转、完成日常工作任务而发生的人员支出和公用支出。</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14.项目支出：指在基本支出之外为完成特定行政任务和事业发展目标所发生的支出。</w:t>
      </w:r>
    </w:p>
    <w:p>
      <w:pPr>
        <w:adjustRightInd w:val="0"/>
        <w:snapToGrid w:val="0"/>
        <w:spacing w:line="62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15.“三公经费”：纳入省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r>
        <w:rPr>
          <w:rFonts w:ascii="仿宋_GB2312" w:hAnsi="仿宋_GB2312" w:eastAsia="仿宋_GB2312" w:cs="仿宋_GB2312"/>
          <w:sz w:val="32"/>
          <w:szCs w:val="32"/>
        </w:rPr>
        <w:t xml:space="preserve"> </w:t>
      </w:r>
    </w:p>
    <w:p>
      <w:pPr>
        <w:adjustRightInd w:val="0"/>
        <w:snapToGrid w:val="0"/>
        <w:spacing w:line="62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16.机关运行经费：为保障行政单位（包括参照公务员法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r>
        <w:rPr>
          <w:rFonts w:ascii="仿宋_GB2312" w:hAnsi="仿宋_GB2312" w:eastAsia="仿宋_GB2312" w:cs="仿宋_GB2312"/>
          <w:sz w:val="32"/>
          <w:szCs w:val="32"/>
        </w:rPr>
        <w:t xml:space="preserve"> </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17.结余分配：指事业单位按照事业单位会计制度的规定从非财政补助结余中分配的事业基金和职工福利基金等。</w:t>
      </w:r>
    </w:p>
    <w:p>
      <w:pPr>
        <w:adjustRightInd w:val="0"/>
        <w:snapToGrid w:val="0"/>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18.年末结转结余：按单位按有关规定结转到下年或以后年度继续使用。</w:t>
      </w:r>
      <w:bookmarkStart w:id="39" w:name="_Toc15396614"/>
      <w:bookmarkStart w:id="40"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Style w:val="22"/>
          <w:rFonts w:ascii="黑体" w:hAnsi="黑体" w:eastAsia="黑体"/>
          <w:b w:val="0"/>
          <w:bCs w:val="0"/>
        </w:rPr>
      </w:pPr>
      <w:r>
        <w:rPr>
          <w:rFonts w:hint="eastAsia" w:ascii="黑体" w:hAnsi="黑体" w:eastAsia="黑体" w:cs="黑体"/>
          <w:color w:val="000000"/>
          <w:sz w:val="44"/>
          <w:szCs w:val="44"/>
        </w:rPr>
        <w:t>第</w:t>
      </w:r>
      <w:r>
        <w:rPr>
          <w:rStyle w:val="22"/>
          <w:rFonts w:hint="eastAsia" w:ascii="黑体" w:hAnsi="黑体" w:eastAsia="黑体" w:cs="黑体"/>
          <w:b w:val="0"/>
          <w:bCs w:val="0"/>
        </w:rPr>
        <w:t>四部分</w:t>
      </w:r>
      <w:r>
        <w:rPr>
          <w:rStyle w:val="22"/>
          <w:rFonts w:ascii="黑体" w:hAnsi="黑体" w:eastAsia="黑体" w:cs="黑体"/>
          <w:b w:val="0"/>
          <w:bCs w:val="0"/>
        </w:rPr>
        <w:t xml:space="preserve"> </w:t>
      </w:r>
      <w:r>
        <w:rPr>
          <w:rStyle w:val="22"/>
          <w:rFonts w:hint="eastAsia" w:ascii="黑体" w:hAnsi="黑体" w:eastAsia="黑体" w:cs="黑体"/>
          <w:b w:val="0"/>
          <w:bCs w:val="0"/>
        </w:rPr>
        <w:t>附件</w:t>
      </w:r>
      <w:bookmarkEnd w:id="39"/>
    </w:p>
    <w:p>
      <w:pPr>
        <w:spacing w:line="600" w:lineRule="exact"/>
        <w:jc w:val="center"/>
        <w:outlineLvl w:val="0"/>
        <w:rPr>
          <w:rStyle w:val="22"/>
          <w:b w:val="0"/>
          <w:bCs w:val="0"/>
        </w:rPr>
      </w:pPr>
    </w:p>
    <w:p>
      <w:pPr>
        <w:rPr>
          <w:rStyle w:val="22"/>
          <w:rFonts w:ascii="黑体" w:hAnsi="黑体" w:eastAsia="黑体"/>
          <w:b w:val="0"/>
          <w:bCs w:val="0"/>
          <w:sz w:val="32"/>
          <w:szCs w:val="32"/>
        </w:rPr>
      </w:pPr>
      <w:bookmarkStart w:id="41" w:name="_Toc15396615"/>
      <w:r>
        <w:rPr>
          <w:rStyle w:val="22"/>
          <w:rFonts w:hint="eastAsia" w:ascii="黑体" w:hAnsi="黑体" w:eastAsia="黑体" w:cs="黑体"/>
          <w:b w:val="0"/>
          <w:bCs w:val="0"/>
          <w:sz w:val="32"/>
          <w:szCs w:val="32"/>
        </w:rPr>
        <w:t>附件</w:t>
      </w:r>
      <w:r>
        <w:rPr>
          <w:rStyle w:val="22"/>
          <w:rFonts w:ascii="黑体" w:hAnsi="黑体" w:eastAsia="黑体" w:cs="黑体"/>
          <w:b w:val="0"/>
          <w:bCs w:val="0"/>
          <w:sz w:val="32"/>
          <w:szCs w:val="32"/>
        </w:rPr>
        <w:t>1</w:t>
      </w:r>
      <w:bookmarkEnd w:id="41"/>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遂宁市人力资源和社会保障局</w:t>
      </w:r>
    </w:p>
    <w:p>
      <w:pPr>
        <w:pStyle w:val="15"/>
        <w:spacing w:line="620" w:lineRule="exact"/>
        <w:ind w:firstLine="4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2019年部门整体支出绩效报告</w:t>
      </w:r>
    </w:p>
    <w:p>
      <w:pPr>
        <w:spacing w:line="620" w:lineRule="exact"/>
        <w:jc w:val="center"/>
        <w:rPr>
          <w:rFonts w:ascii="仿宋_GB2312" w:hAnsi="仿宋_GB2312" w:eastAsia="仿宋_GB2312" w:cs="仿宋_GB2312"/>
          <w:sz w:val="44"/>
          <w:szCs w:val="44"/>
        </w:rPr>
      </w:pP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市财政局：</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sz w:val="32"/>
          <w:szCs w:val="32"/>
        </w:rPr>
        <w:t>《遂宁市财政局关于开展2020年财政绩效评价工作的通知》（遂财绩〔2020〕12号）</w:t>
      </w:r>
      <w:r>
        <w:rPr>
          <w:rFonts w:hint="eastAsia" w:ascii="仿宋_GB2312" w:hAnsi="仿宋_GB2312" w:eastAsia="仿宋_GB2312" w:cs="仿宋_GB2312"/>
          <w:color w:val="000000"/>
          <w:sz w:val="32"/>
          <w:szCs w:val="32"/>
        </w:rPr>
        <w:t>文件要求，我局对2019年市本级</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zh-CN"/>
        </w:rPr>
        <w:t>预算资金</w:t>
      </w:r>
      <w:r>
        <w:rPr>
          <w:rFonts w:hint="eastAsia" w:ascii="仿宋_GB2312" w:hAnsi="仿宋_GB2312" w:eastAsia="仿宋_GB2312" w:cs="仿宋_GB2312"/>
          <w:color w:val="000000"/>
          <w:sz w:val="32"/>
          <w:szCs w:val="32"/>
        </w:rPr>
        <w:t>开展了绩效评价工作，现将情况报告如下。</w:t>
      </w:r>
    </w:p>
    <w:p>
      <w:pPr>
        <w:spacing w:line="620" w:lineRule="exact"/>
        <w:rPr>
          <w:rFonts w:ascii="黑体" w:hAnsi="黑体" w:eastAsia="黑体" w:cs="黑体"/>
          <w:sz w:val="32"/>
          <w:szCs w:val="32"/>
        </w:rPr>
      </w:pPr>
      <w:r>
        <w:rPr>
          <w:rFonts w:hint="eastAsia" w:ascii="黑体" w:hAnsi="黑体" w:eastAsia="黑体" w:cs="黑体"/>
          <w:sz w:val="32"/>
          <w:szCs w:val="32"/>
        </w:rPr>
        <w:t xml:space="preserve">    一、部门概况</w:t>
      </w:r>
    </w:p>
    <w:p>
      <w:pPr>
        <w:spacing w:line="62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（一）机构组成</w:t>
      </w:r>
    </w:p>
    <w:p>
      <w:pPr>
        <w:adjustRightInd w:val="0"/>
        <w:snapToGrid w:val="0"/>
        <w:spacing w:line="620" w:lineRule="exact"/>
        <w:ind w:firstLine="640" w:firstLineChars="200"/>
        <w:rPr>
          <w:rFonts w:ascii="仿宋_GB2312" w:hAnsi="仿宋" w:eastAsia="仿宋_GB2312" w:cs="Times New Roman"/>
          <w:sz w:val="32"/>
          <w:szCs w:val="32"/>
        </w:rPr>
      </w:pPr>
      <w:r>
        <w:rPr>
          <w:rStyle w:val="41"/>
          <w:rFonts w:hint="eastAsia" w:ascii="仿宋_GB2312" w:hAnsi="仿宋_GB2312" w:eastAsia="仿宋_GB2312" w:cs="Times New Roman"/>
          <w:sz w:val="32"/>
          <w:szCs w:val="32"/>
        </w:rPr>
        <w:t>遂宁市人力资源和社会保障局下属二级预算单位</w:t>
      </w:r>
      <w:r>
        <w:rPr>
          <w:rFonts w:hint="eastAsia" w:ascii="仿宋_GB2312" w:hAnsi="仿宋" w:eastAsia="仿宋_GB2312" w:cs="Times New Roman"/>
          <w:sz w:val="32"/>
          <w:szCs w:val="32"/>
        </w:rPr>
        <w:t>6个，其中行政单位1个（市人力资源和社会保障局），参照公务员法管理的事业单位</w:t>
      </w:r>
      <w:r>
        <w:rPr>
          <w:rFonts w:hint="eastAsia" w:ascii="仿宋_GB2312" w:hAnsi="仿宋" w:eastAsia="仿宋_GB2312" w:cs="Times New Roman"/>
          <w:bCs/>
          <w:sz w:val="32"/>
          <w:szCs w:val="32"/>
        </w:rPr>
        <w:t>4</w:t>
      </w:r>
      <w:r>
        <w:rPr>
          <w:rFonts w:hint="eastAsia" w:ascii="仿宋_GB2312" w:hAnsi="仿宋" w:eastAsia="仿宋_GB2312" w:cs="Times New Roman"/>
          <w:sz w:val="32"/>
          <w:szCs w:val="32"/>
        </w:rPr>
        <w:t>个（市就业局、市社保局、市劳动保障监察支队、市劳动人事争议仲裁院）；其他事业单位1个（市农民工服务中心）。</w:t>
      </w:r>
    </w:p>
    <w:p>
      <w:pPr>
        <w:spacing w:line="62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（二）机构职能</w:t>
      </w:r>
    </w:p>
    <w:p>
      <w:pPr>
        <w:pStyle w:val="39"/>
        <w:adjustRightInd w:val="0"/>
        <w:snapToGrid w:val="0"/>
        <w:spacing w:line="620" w:lineRule="exact"/>
        <w:ind w:firstLine="640" w:firstLineChars="200"/>
        <w:rPr>
          <w:rFonts w:ascii="仿宋_GB2312" w:eastAsia="仿宋_GB2312"/>
        </w:rPr>
      </w:pPr>
      <w:r>
        <w:rPr>
          <w:rFonts w:hint="eastAsia" w:ascii="仿宋_GB2312" w:hAnsi="宋体" w:eastAsia="仿宋_GB2312"/>
        </w:rPr>
        <w:t>1.</w:t>
      </w:r>
      <w:r>
        <w:rPr>
          <w:rFonts w:hint="eastAsia" w:ascii="仿宋_GB2312" w:eastAsia="仿宋_GB2312"/>
        </w:rPr>
        <w:t>拟订人力资源和社会保障事业发展政策、规划并组织实施和监督检查。</w:t>
      </w:r>
    </w:p>
    <w:p>
      <w:pPr>
        <w:pStyle w:val="39"/>
        <w:adjustRightInd w:val="0"/>
        <w:snapToGrid w:val="0"/>
        <w:spacing w:line="620" w:lineRule="exact"/>
        <w:ind w:firstLine="640" w:firstLineChars="200"/>
        <w:rPr>
          <w:rFonts w:ascii="仿宋_GB2312" w:hAnsi="宋体" w:eastAsia="仿宋_GB2312"/>
        </w:rPr>
      </w:pPr>
      <w:r>
        <w:rPr>
          <w:rFonts w:hint="eastAsia" w:ascii="仿宋_GB2312" w:hAnsi="宋体" w:eastAsia="仿宋_GB2312"/>
        </w:rPr>
        <w:t>2.</w:t>
      </w:r>
      <w:r>
        <w:rPr>
          <w:rFonts w:hint="eastAsia" w:ascii="仿宋_GB2312" w:eastAsia="仿宋_GB2312"/>
        </w:rPr>
        <w:t>拟订并组织实施人力资源市场发展规划和人力资源服务业发展、人力资源流动政策，建立统一规范的人力资源市场，促进人力资源合理流动、有效配置。</w:t>
      </w:r>
    </w:p>
    <w:p>
      <w:pPr>
        <w:adjustRightInd w:val="0"/>
        <w:snapToGrid w:val="0"/>
        <w:spacing w:line="620" w:lineRule="exact"/>
        <w:ind w:firstLine="640" w:firstLineChars="200"/>
        <w:rPr>
          <w:rFonts w:ascii="仿宋_GB2312" w:hAnsi="Calibri" w:eastAsia="仿宋_GB2312"/>
          <w:sz w:val="32"/>
          <w:szCs w:val="32"/>
        </w:rPr>
      </w:pPr>
      <w:r>
        <w:rPr>
          <w:rFonts w:hint="eastAsia" w:ascii="仿宋_GB2312" w:eastAsia="仿宋_GB2312"/>
          <w:sz w:val="32"/>
          <w:szCs w:val="32"/>
        </w:rPr>
        <w:t>3.</w:t>
      </w:r>
      <w:r>
        <w:rPr>
          <w:rFonts w:hint="eastAsia" w:ascii="仿宋_GB2312" w:hAnsi="Calibri" w:eastAsia="仿宋_GB2312"/>
          <w:sz w:val="32"/>
          <w:szCs w:val="32"/>
        </w:rPr>
        <w:t>负责促进就业工作，拟订统筹城乡的就业发展规划和政策，完善公共就业创业服务体系，统筹建立面向城乡劳动者的职业技能培训制度，拟订并组织落实创业、就业援助制度，牵头拟订高校毕业生就业政策。</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Calibri" w:eastAsia="仿宋_GB2312"/>
          <w:sz w:val="32"/>
          <w:szCs w:val="32"/>
        </w:rPr>
        <w:t>统筹推进建立覆盖城乡的多层次社会保障体系。拟订并组织实施全市养老、失业、工伤等社会保险及其补充保险政策。贯彻落实养老保险统筹办法和统一的养老、失业、工伤保险关系转续办法。组织拟订养老、失业、工伤等社会保险及其补充保险基金管理和监督制度、编制相关社会保险基金预决算草案，参与拟订全市相关社会保障基金投资政策。会同有关部门实施全民参保计划并建立统一的社会保险公共服务平台。拟订人力资源和社会保障信息化建设总体规划、年度计划，拟订相关制度、标准和规范并组织实施。指导、督促企业参加工伤保险。</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5.</w:t>
      </w:r>
      <w:r>
        <w:rPr>
          <w:rFonts w:hint="eastAsia" w:ascii="仿宋_GB2312" w:hAnsi="Calibri" w:eastAsia="仿宋_GB2312"/>
          <w:sz w:val="32"/>
          <w:szCs w:val="32"/>
        </w:rPr>
        <w:t>负责就业、失业和相关社会保险基金预测预警和信息引导，拟订应对预案，实施预防、调节和控制，保持就业形势稳定和相关社会保险基金总体收支平衡。</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6.</w:t>
      </w:r>
      <w:r>
        <w:rPr>
          <w:rFonts w:hint="eastAsia" w:ascii="仿宋_GB2312" w:hAnsi="Calibri" w:eastAsia="仿宋_GB2312"/>
          <w:sz w:val="32"/>
          <w:szCs w:val="32"/>
        </w:rPr>
        <w:t>统筹拟订并组织实施劳动人事争议调解仲裁制度和劳动关系政策，完善劳动关系协商协调机制，拟订职工工作时间、休息休假和假期制度，拟订消除非法使用童工政策和女工、未成年工特殊劳动保护政策。依法督促用人单位在劳动用工、合同签订与履约时，载明劳动保护、劳动条件和职业危害防护条款。组织实施劳动保障监察，协调劳动者维权工作，依法查处重大案件。</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7.</w:t>
      </w:r>
      <w:r>
        <w:rPr>
          <w:rFonts w:hint="eastAsia" w:ascii="仿宋_GB2312" w:hAnsi="Calibri" w:eastAsia="仿宋_GB2312"/>
          <w:sz w:val="32"/>
          <w:szCs w:val="32"/>
        </w:rPr>
        <w:t>牵头推进深化职称制度改革，拟订专业技术人员管理、继续教育等政策，完善博士后管理制度，负责高层次专业技术人才选拔和培养工作，拟订吸引留学人员来遂</w:t>
      </w:r>
      <w:r>
        <w:rPr>
          <w:rFonts w:hint="eastAsia" w:ascii="仿宋_GB2312" w:eastAsia="仿宋_GB2312"/>
          <w:sz w:val="32"/>
          <w:szCs w:val="32"/>
        </w:rPr>
        <w:t>(</w:t>
      </w:r>
      <w:r>
        <w:rPr>
          <w:rFonts w:hint="eastAsia" w:ascii="仿宋_GB2312" w:hAnsi="Calibri" w:eastAsia="仿宋_GB2312"/>
          <w:sz w:val="32"/>
          <w:szCs w:val="32"/>
        </w:rPr>
        <w:t>回遂</w:t>
      </w:r>
      <w:r>
        <w:rPr>
          <w:rFonts w:hint="eastAsia" w:ascii="仿宋_GB2312" w:eastAsia="仿宋_GB2312"/>
          <w:sz w:val="32"/>
          <w:szCs w:val="32"/>
        </w:rPr>
        <w:t>)</w:t>
      </w:r>
      <w:r>
        <w:rPr>
          <w:rFonts w:hint="eastAsia" w:ascii="仿宋_GB2312" w:hAnsi="Calibri" w:eastAsia="仿宋_GB2312"/>
          <w:sz w:val="32"/>
          <w:szCs w:val="32"/>
        </w:rPr>
        <w:t>工作或定居政策。组织拟订技能人才培养、评价、使用和激励制度。贯彻落实职业资格制度，健全职业技能多元化评价政策。指导、监督各级各类技工学校、民办职业培训机构按有关规定履行安全管理责任。</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8.</w:t>
      </w:r>
      <w:r>
        <w:rPr>
          <w:rFonts w:hint="eastAsia" w:ascii="仿宋_GB2312" w:hAnsi="Calibri" w:eastAsia="仿宋_GB2312"/>
          <w:sz w:val="32"/>
          <w:szCs w:val="32"/>
        </w:rPr>
        <w:t>会同有关部门指导事业单位人事制度改革，按照管理权限负责规范事业单位岗位设置、公开招聘、聘用合同等人事综合管理工作，拟订事业单位工作人员和机关工勤人员管理政策，将安全生产责任履行情况作为事业单位人员奖惩、考核的重要内容。</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9.</w:t>
      </w:r>
      <w:r>
        <w:rPr>
          <w:rFonts w:hint="eastAsia" w:ascii="仿宋_GB2312" w:hAnsi="Calibri" w:eastAsia="仿宋_GB2312"/>
          <w:sz w:val="32"/>
          <w:szCs w:val="32"/>
        </w:rPr>
        <w:t>组织实施国家表彰奖励制度，综合管理政府表彰奖励工作，承担评比达标表彰工作，根据授权承办以市委、市政府名义开展的表彰奖励活动。承办提请市人大常委会和市政府决定的人事任免事项。</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10.</w:t>
      </w:r>
      <w:r>
        <w:rPr>
          <w:rFonts w:hint="eastAsia" w:ascii="仿宋_GB2312" w:hAnsi="Calibri" w:eastAsia="仿宋_GB2312"/>
          <w:sz w:val="32"/>
          <w:szCs w:val="32"/>
        </w:rPr>
        <w:t>会同有关部门拟订事业单位人员工资收入分配政策，建立企事业单位人员工资决定、正常增长和支付保障机制。拟订企事业单位人员福利和离退休政策。</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11.</w:t>
      </w:r>
      <w:r>
        <w:rPr>
          <w:rFonts w:hint="eastAsia" w:ascii="仿宋_GB2312" w:hAnsi="Calibri" w:eastAsia="仿宋_GB2312"/>
          <w:sz w:val="32"/>
          <w:szCs w:val="32"/>
        </w:rPr>
        <w:t>会同有关部门拟订农民工工作的综合性政策和规划，推动相关政策落实，协调解决重点难点问题，维护农民工合法权益。负责将安全生产纳入农民工技能培训内容。</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12.</w:t>
      </w:r>
      <w:r>
        <w:rPr>
          <w:rFonts w:hint="eastAsia" w:ascii="仿宋_GB2312" w:hAnsi="Calibri" w:eastAsia="仿宋_GB2312"/>
          <w:sz w:val="32"/>
          <w:szCs w:val="32"/>
        </w:rPr>
        <w:t>负责人力资源和社会保障领域内的对外交流与合作工作。</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13.</w:t>
      </w:r>
      <w:r>
        <w:rPr>
          <w:rFonts w:hint="eastAsia" w:ascii="仿宋_GB2312" w:hAnsi="Calibri" w:eastAsia="仿宋_GB2312"/>
          <w:sz w:val="32"/>
          <w:szCs w:val="32"/>
        </w:rPr>
        <w:t>负责职责范围内的安全生产和职业健康、生态环境保护、审批服务便民化等工作。</w:t>
      </w:r>
      <w:r>
        <w:rPr>
          <w:rFonts w:hint="eastAsia" w:ascii="仿宋_GB2312" w:eastAsia="仿宋_GB2312"/>
          <w:sz w:val="32"/>
          <w:szCs w:val="32"/>
        </w:rPr>
        <w:t>　　</w:t>
      </w:r>
    </w:p>
    <w:p>
      <w:pPr>
        <w:adjustRightInd w:val="0"/>
        <w:snapToGrid w:val="0"/>
        <w:spacing w:line="620" w:lineRule="exact"/>
        <w:rPr>
          <w:rFonts w:ascii="仿宋_GB2312" w:eastAsia="仿宋_GB2312"/>
          <w:sz w:val="32"/>
          <w:szCs w:val="32"/>
        </w:rPr>
      </w:pPr>
      <w:r>
        <w:rPr>
          <w:rFonts w:hint="eastAsia" w:ascii="仿宋_GB2312" w:eastAsia="仿宋_GB2312"/>
          <w:sz w:val="32"/>
          <w:szCs w:val="32"/>
        </w:rPr>
        <w:t xml:space="preserve">    14.</w:t>
      </w:r>
      <w:r>
        <w:rPr>
          <w:rFonts w:hint="eastAsia" w:ascii="仿宋_GB2312" w:hAnsi="Calibri" w:eastAsia="仿宋_GB2312"/>
          <w:sz w:val="32"/>
          <w:szCs w:val="32"/>
        </w:rPr>
        <w:t>完成市委、市政府交办的其他任务。</w:t>
      </w:r>
      <w:r>
        <w:rPr>
          <w:rFonts w:hint="eastAsia" w:ascii="仿宋_GB2312" w:eastAsia="仿宋_GB2312"/>
          <w:sz w:val="32"/>
          <w:szCs w:val="32"/>
        </w:rPr>
        <w:t>　　</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ascii="仿宋_GB2312" w:hAnsi="Calibri" w:eastAsia="仿宋_GB2312"/>
          <w:sz w:val="32"/>
          <w:szCs w:val="32"/>
        </w:rPr>
        <w:t>职能转变。深入推进“放管服”改革，进一步减少行政审批事项，规范和优化对外办理事项，减少职业资格许可和认定等审批事项，实行职业资格目录清单管理，加强事中事后监管，创新就业和社会保障等公共服务方式，加强信息共享，提高公共服务水平。</w:t>
      </w:r>
      <w:r>
        <w:rPr>
          <w:rFonts w:hint="eastAsia" w:ascii="仿宋_GB2312" w:eastAsia="仿宋_GB2312"/>
          <w:sz w:val="32"/>
          <w:szCs w:val="32"/>
        </w:rPr>
        <w:t>　　</w:t>
      </w:r>
    </w:p>
    <w:p>
      <w:pPr>
        <w:adjustRightInd w:val="0"/>
        <w:snapToGrid w:val="0"/>
        <w:spacing w:line="620" w:lineRule="exact"/>
        <w:ind w:firstLine="640"/>
        <w:rPr>
          <w:rFonts w:ascii="仿宋_GB2312"/>
        </w:rPr>
      </w:pPr>
      <w:r>
        <w:rPr>
          <w:rFonts w:hint="eastAsia" w:ascii="仿宋_GB2312" w:eastAsia="仿宋_GB2312"/>
          <w:sz w:val="32"/>
          <w:szCs w:val="32"/>
        </w:rPr>
        <w:t>16.</w:t>
      </w:r>
      <w:r>
        <w:rPr>
          <w:rFonts w:hint="eastAsia" w:ascii="仿宋_GB2312" w:hAnsi="Calibri" w:eastAsia="仿宋_GB2312"/>
          <w:sz w:val="32"/>
          <w:szCs w:val="32"/>
        </w:rPr>
        <w:t>与市教育和体育局的有关职责分工。高校毕业生就业政策的拟订由市人力资源社会保障局牵头，市教育和体育局配合。高校毕业生离校前的就业指导和服务工作由市教育和体育局负责；高校毕业生离校后的就业指导和服务工作由市人力资源社会保障局负责。</w:t>
      </w:r>
      <w:r>
        <w:rPr>
          <w:rFonts w:hint="eastAsia" w:ascii="仿宋_GB2312" w:eastAsia="仿宋_GB2312"/>
          <w:sz w:val="32"/>
          <w:szCs w:val="32"/>
        </w:rPr>
        <w:t>　</w:t>
      </w:r>
    </w:p>
    <w:p>
      <w:pPr>
        <w:spacing w:line="62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（三）人员概况</w:t>
      </w:r>
    </w:p>
    <w:p>
      <w:pPr>
        <w:ind w:firstLine="640" w:firstLineChars="200"/>
        <w:rPr>
          <w:rFonts w:ascii="仿宋" w:hAnsi="仿宋" w:eastAsia="仿宋"/>
          <w:sz w:val="32"/>
          <w:szCs w:val="32"/>
        </w:rPr>
      </w:pPr>
      <w:r>
        <w:rPr>
          <w:rFonts w:hint="eastAsia" w:ascii="仿宋" w:hAnsi="仿宋" w:eastAsia="仿宋"/>
          <w:sz w:val="32"/>
          <w:szCs w:val="32"/>
        </w:rPr>
        <w:t>2019年机构改革，市人力资源社会保障局部分职能及人员划出，机构改革，整体划出参公事业单位医保局、其他事业单位军培中心两个单位职责和人员。市直人社系统年末实有人数140人，其中行政编制人数36人，事业编制104人含参照公务员法管理人员99人。</w:t>
      </w:r>
    </w:p>
    <w:p>
      <w:pPr>
        <w:spacing w:line="620" w:lineRule="exact"/>
        <w:rPr>
          <w:rFonts w:ascii="仿宋_GB2312" w:hAnsi="仿宋_GB2312" w:eastAsia="仿宋_GB2312" w:cs="仿宋_GB2312"/>
          <w:sz w:val="32"/>
          <w:szCs w:val="32"/>
        </w:rPr>
      </w:pPr>
      <w:r>
        <w:rPr>
          <w:rFonts w:hint="eastAsia" w:ascii="黑体" w:hAnsi="黑体" w:eastAsia="黑体" w:cs="黑体"/>
          <w:sz w:val="32"/>
          <w:szCs w:val="32"/>
        </w:rPr>
        <w:t xml:space="preserve">    二、部门财政资金收支情况</w:t>
      </w:r>
    </w:p>
    <w:p>
      <w:pPr>
        <w:spacing w:line="62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（一）部门财政资金收入情况</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2019年总收入4784.16万元，其中：上年结余337.88万元、占总收入7.06%；财政拨款4003.36万元，占总收入83.68%；其他收入442.92万元，占总收入9.26%。</w:t>
      </w:r>
    </w:p>
    <w:p>
      <w:pPr>
        <w:snapToGrid w:val="0"/>
        <w:spacing w:line="360" w:lineRule="auto"/>
        <w:ind w:firstLine="480" w:firstLineChars="200"/>
        <w:rPr>
          <w:rFonts w:ascii="仿宋" w:hAnsi="仿宋" w:eastAsia="仿宋"/>
        </w:rPr>
      </w:pPr>
      <w:r>
        <w:rPr>
          <w:rFonts w:ascii="仿宋" w:hAnsi="仿宋" w:eastAsia="仿宋"/>
        </w:rPr>
        <w:drawing>
          <wp:inline distT="0" distB="0" distL="114300" distR="114300">
            <wp:extent cx="5257165" cy="2032000"/>
            <wp:effectExtent l="4445" t="4445" r="15240" b="20955"/>
            <wp:docPr id="8"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2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（二）部门财政资金支出情况</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2019年市直人社部门相应安排支出4392.52万元，其中：基本支出2781.22万元，占总支出的63.32%；项目支出1611.30万元，占总支出的36.68%。</w:t>
      </w:r>
    </w:p>
    <w:p>
      <w:pPr>
        <w:snapToGrid w:val="0"/>
        <w:spacing w:line="360" w:lineRule="auto"/>
        <w:ind w:firstLine="480" w:firstLineChars="200"/>
        <w:rPr>
          <w:rFonts w:ascii="仿宋" w:hAnsi="仿宋" w:eastAsia="仿宋"/>
        </w:rPr>
      </w:pPr>
    </w:p>
    <w:p>
      <w:pPr>
        <w:snapToGrid w:val="0"/>
        <w:spacing w:line="360" w:lineRule="auto"/>
        <w:ind w:firstLine="480" w:firstLineChars="200"/>
        <w:rPr>
          <w:rFonts w:ascii="仿宋" w:hAnsi="仿宋" w:eastAsia="仿宋"/>
        </w:rPr>
      </w:pPr>
      <w:r>
        <w:rPr>
          <w:rFonts w:ascii="仿宋" w:hAnsi="仿宋" w:eastAsia="仿宋"/>
        </w:rPr>
        <w:drawing>
          <wp:inline distT="0" distB="0" distL="114300" distR="114300">
            <wp:extent cx="5257165" cy="1135380"/>
            <wp:effectExtent l="4445" t="4445" r="15240" b="22225"/>
            <wp:docPr id="9"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20" w:lineRule="exact"/>
        <w:ind w:firstLine="640" w:firstLineChars="200"/>
        <w:rPr>
          <w:rStyle w:val="20"/>
          <w:rFonts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市直人社部门正常运转的日常支出，包括基本工资、津贴补贴、奖金、职工基本医疗保险缴费、其他社会保障缴费、绩效工资、机关事业单位基本养老保险缴费、住房公积金、其他工资福利支出、医疗费补助、生活补助、</w:t>
      </w:r>
      <w:r>
        <w:rPr>
          <w:rStyle w:val="20"/>
          <w:rFonts w:hint="eastAsia" w:ascii="仿宋_GB2312" w:hAnsi="仿宋_GB2312" w:eastAsia="仿宋_GB2312" w:cs="仿宋_GB2312"/>
          <w:sz w:val="32"/>
          <w:szCs w:val="32"/>
        </w:rPr>
        <w:t>办公费、印刷费、水费、电费、邮电费、差旅费、会议费、培训费、工会经费、福利费、其他交通费、其他商品和服务支出、维修(护)费、劳务费等支出 。</w:t>
      </w:r>
    </w:p>
    <w:p>
      <w:pPr>
        <w:pStyle w:val="15"/>
        <w:spacing w:line="620" w:lineRule="exact"/>
        <w:ind w:firstLine="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项目支出是用于保障市直人社部门为完成特定的行政工作任务或事业发展目标，用于专项业务工作的经费支出。</w:t>
      </w:r>
    </w:p>
    <w:p>
      <w:pPr>
        <w:spacing w:line="620" w:lineRule="exact"/>
        <w:rPr>
          <w:rFonts w:ascii="黑体" w:hAnsi="黑体" w:eastAsia="黑体" w:cs="黑体"/>
          <w:sz w:val="32"/>
          <w:szCs w:val="32"/>
        </w:rPr>
      </w:pPr>
      <w:r>
        <w:rPr>
          <w:rFonts w:hint="eastAsia" w:ascii="黑体" w:hAnsi="黑体" w:eastAsia="黑体" w:cs="黑体"/>
          <w:sz w:val="32"/>
          <w:szCs w:val="32"/>
        </w:rPr>
        <w:t xml:space="preserve">    三、部门财政支出管理情况</w:t>
      </w:r>
    </w:p>
    <w:p>
      <w:pPr>
        <w:spacing w:line="62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（一）预算编制情况</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在预算编制过程中，市直人力资源社会保障部门严格按照《遂宁市财政局关于编制市级部门2019-2021年支出规划和2019年部门预算的通知》（遂财预〔2018〕22号）文件要求，</w:t>
      </w:r>
      <w:r>
        <w:rPr>
          <w:rFonts w:ascii="仿宋" w:hAnsi="仿宋" w:eastAsia="仿宋"/>
          <w:sz w:val="32"/>
          <w:szCs w:val="32"/>
        </w:rPr>
        <w:t>全面贯彻党的十九大精神，以习近平新时代中国特色社会主义思想、省委十一届三次全会精神和市委七届六次全会精神为指导，积极落实省委“保运转、保民生、转变财政支持发展方式”财政工作方针，坚持“量入为出、有保有压、收支平衡”的基本要求，</w:t>
      </w:r>
      <w:r>
        <w:rPr>
          <w:rFonts w:hint="eastAsia" w:ascii="仿宋" w:hAnsi="仿宋" w:eastAsia="仿宋"/>
          <w:sz w:val="32"/>
          <w:szCs w:val="32"/>
        </w:rPr>
        <w:t>2019年</w:t>
      </w:r>
      <w:r>
        <w:rPr>
          <w:rFonts w:ascii="仿宋" w:hAnsi="仿宋" w:eastAsia="仿宋"/>
          <w:sz w:val="32"/>
          <w:szCs w:val="32"/>
        </w:rPr>
        <w:t>部门预算按照厉行节约、从紧从严的要求和项目零基预算的原则，把握轻重缓急合理编制项目支出预算，从严控制非急需、非刚性支出。实行项目支出按额度总控、具体项目按零基编制的方法。并结合上年度部门预算执行进度和绩效评价结果，确定部门的项目支出控制额度，原则上总体不新增支出预算</w:t>
      </w:r>
      <w:r>
        <w:rPr>
          <w:rFonts w:ascii="仿宋" w:hAnsi="仿宋" w:eastAsia="仿宋"/>
          <w:b/>
          <w:sz w:val="32"/>
          <w:szCs w:val="32"/>
        </w:rPr>
        <w:t>。</w:t>
      </w:r>
      <w:r>
        <w:rPr>
          <w:rFonts w:hint="eastAsia" w:ascii="仿宋_GB2312" w:hAnsi="仿宋_GB2312" w:eastAsia="仿宋_GB2312" w:cs="仿宋_GB2312"/>
          <w:sz w:val="32"/>
          <w:szCs w:val="32"/>
        </w:rPr>
        <w:t>对预算资金额度达20万以上和纳入政府购买公共服务的项目支出填报绩效目标，建立健全项目支出定期评估机制；加强采购预算的编制审核，夯实政府采购预算执行基础；对财政拨款指标结余经财政审核批准结转下年继续使用，切实提高预算的编制质量。</w:t>
      </w:r>
    </w:p>
    <w:p>
      <w:pPr>
        <w:spacing w:line="62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（二）执行管理情况 </w:t>
      </w:r>
    </w:p>
    <w:p>
      <w:pPr>
        <w:ind w:firstLine="640" w:firstLineChars="200"/>
        <w:rPr>
          <w:rFonts w:ascii="仿宋" w:hAnsi="仿宋" w:eastAsia="仿宋"/>
          <w:b/>
          <w:sz w:val="32"/>
          <w:szCs w:val="32"/>
        </w:rPr>
      </w:pPr>
      <w:r>
        <w:rPr>
          <w:rFonts w:hint="eastAsia" w:ascii="仿宋_GB2312" w:hAnsi="仿宋_GB2312" w:eastAsia="仿宋_GB2312" w:cs="仿宋_GB2312"/>
          <w:sz w:val="32"/>
          <w:szCs w:val="32"/>
        </w:rPr>
        <w:t>在预算执行过程中，按照年初制定</w:t>
      </w:r>
      <w:r>
        <w:rPr>
          <w:rFonts w:ascii="仿宋" w:hAnsi="仿宋" w:eastAsia="仿宋"/>
          <w:sz w:val="32"/>
          <w:szCs w:val="32"/>
        </w:rPr>
        <w:t>整体支出绩效目标和项目支出绩效目标，</w:t>
      </w:r>
      <w:r>
        <w:rPr>
          <w:rFonts w:hint="eastAsia" w:ascii="仿宋_GB2312" w:hAnsi="仿宋_GB2312" w:eastAsia="仿宋_GB2312" w:cs="仿宋_GB2312"/>
          <w:sz w:val="32"/>
          <w:szCs w:val="32"/>
        </w:rPr>
        <w:t>强化绩效目标管理，</w:t>
      </w:r>
      <w:r>
        <w:rPr>
          <w:rFonts w:ascii="仿宋" w:hAnsi="仿宋" w:eastAsia="仿宋"/>
          <w:sz w:val="32"/>
          <w:szCs w:val="32"/>
        </w:rPr>
        <w:t>实施绩效监控、开展绩效评价</w:t>
      </w:r>
      <w:r>
        <w:rPr>
          <w:rFonts w:hint="eastAsia" w:ascii="仿宋" w:hAnsi="仿宋" w:eastAsia="仿宋"/>
          <w:sz w:val="32"/>
          <w:szCs w:val="32"/>
        </w:rPr>
        <w:t>，</w:t>
      </w:r>
      <w:r>
        <w:rPr>
          <w:rFonts w:hint="eastAsia" w:ascii="仿宋_GB2312" w:hAnsi="仿宋_GB2312" w:eastAsia="仿宋_GB2312" w:cs="仿宋_GB2312"/>
          <w:sz w:val="32"/>
          <w:szCs w:val="32"/>
        </w:rPr>
        <w:t>严格预算安排硬约束，确需调整的，由业务科室与财务科提出调整方案，经局长办公会议审定，并经财政部门审核后执行。严格进度管理，不搞突击花钱。认真落实厉行节约规定，严格控制一般性支出，严格“三公”经费管理，“三公”经费预算实行总量控制，定期上报“三公”经费支出报表。</w:t>
      </w:r>
    </w:p>
    <w:p>
      <w:pPr>
        <w:spacing w:line="62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（三）综合管理情况</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1.非税收入执收。</w:t>
      </w:r>
      <w:r>
        <w:rPr>
          <w:rFonts w:hint="eastAsia" w:ascii="仿宋_GB2312" w:hAnsi="仿宋_GB2312" w:eastAsia="仿宋_GB2312" w:cs="仿宋_GB2312"/>
          <w:sz w:val="32"/>
          <w:szCs w:val="32"/>
        </w:rPr>
        <w:t>市直人力资源社会保障部门存在非税收入执收的只有市人力资源社会保障局，在非税收入执收过程中，严格按照财政部门要求，对票据领取、资金转存方式等严格执行相关规定，在行政事业性收费管理过程中严格按照《财政票据管理办法》和遂财综〔2013〕39号文件精神，按程序申请领取票据，使用了四川省政府非税收入通用票据、四川省政府非税收入一般缴款书和四川省行政事业单位资金往来结算票据三种票据。对票据领用、使用与保管制定了措施，对领取的票据进行登记造册专人管理，票据使用过程中严格按照收费依据进行收费，并及时足额缴存专户，对使用后的票据及时进行核销。次年对行政事业性收费的收支情况进行网上公开，接受社会监督。</w:t>
      </w:r>
    </w:p>
    <w:p>
      <w:pPr>
        <w:pStyle w:val="15"/>
        <w:spacing w:line="620" w:lineRule="exact"/>
        <w:ind w:firstLine="321"/>
        <w:rPr>
          <w:rFonts w:ascii="仿宋" w:hAnsi="仿宋" w:eastAsia="仿宋" w:cs="仿宋_GB2312"/>
          <w:sz w:val="32"/>
          <w:szCs w:val="32"/>
        </w:rPr>
      </w:pPr>
      <w:r>
        <w:rPr>
          <w:rFonts w:hint="eastAsia" w:ascii="仿宋" w:hAnsi="仿宋" w:eastAsia="仿宋" w:cs="仿宋_GB2312"/>
          <w:b/>
          <w:bCs/>
          <w:sz w:val="32"/>
          <w:szCs w:val="32"/>
        </w:rPr>
        <w:t>2.政策采购实施计划。</w:t>
      </w:r>
      <w:r>
        <w:rPr>
          <w:rFonts w:hint="eastAsia" w:ascii="仿宋" w:hAnsi="仿宋" w:eastAsia="仿宋" w:cs="仿宋_GB2312"/>
          <w:sz w:val="32"/>
          <w:szCs w:val="32"/>
        </w:rPr>
        <w:t>市直人力资源社会保障部门政府采购预算编报全面、完整。采购模式规范，对政府采购管理，严格执行政府采购目录标准、相关的审批程序和电子竞价交易相关要求。采购方式选择合规。不存在无预算或超预算进行采购。不存在擅自提高采购标准现象。按照政府采购配置固定资产，无擅自处置资产、转移收入、私分资产等行为。对资产管理，增加的资产及时入帐，不存在将取得的国有资产不登记，擅自占有、使用的问题。资产管理做到了责任落实，核算符合规定，账实相符。单位资产无对外投资、出租、出借、担保现象。无未经审批擅自处置资产，出现资产流失问题，按照财政和国资委要求上报相关报表。</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3.内控制度管理。</w:t>
      </w:r>
      <w:r>
        <w:rPr>
          <w:rFonts w:hint="eastAsia" w:ascii="仿宋_GB2312" w:hAnsi="仿宋_GB2312" w:eastAsia="仿宋_GB2312" w:cs="仿宋_GB2312"/>
          <w:sz w:val="32"/>
          <w:szCs w:val="32"/>
        </w:rPr>
        <w:t>市直人力资源社会保障部门为切实加强对内部控制建设工作的组织领导，全力推进内部控制建设工作，制定了《内控制度汇编手册》，分为风险评估、单位层面内部控制、业务层面内部控制、单位管理制度、评价与监督五个部分，做到经济业务管理规范有序，内控管理职责清晰，提高了单位人员工作效率，实现了内部管理的规范化、法治化和信息化。按时按质完成2019年度行政事业单位内部控制报告编报、上报工作。</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 信息公开。</w:t>
      </w:r>
      <w:r>
        <w:rPr>
          <w:rFonts w:hint="eastAsia" w:ascii="仿宋_GB2312" w:hAnsi="仿宋_GB2312" w:eastAsia="仿宋_GB2312" w:cs="仿宋_GB2312"/>
          <w:sz w:val="32"/>
          <w:szCs w:val="32"/>
        </w:rPr>
        <w:t>市直人力资源社会保障部门按照财政统一要求按时按质地主动做好预决算公开工作，公开部门预决算由遂宁市人力资源和社会保障局统一在市政府门户网站公示，接受社会监督。</w:t>
      </w:r>
    </w:p>
    <w:p>
      <w:pPr>
        <w:spacing w:line="62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（四）整体绩效</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sz w:val="32"/>
          <w:szCs w:val="32"/>
        </w:rPr>
        <w:t>2019年，市人力资源社会保障局以习近平新时代中国特色社会主义思想为引领，按照习近平总书记对四川工作系列重要指示精神要求，深入贯彻党的十九大和十九届二中、三中、四中全会精神，省委十一届五次、六次全会和市委七届八次、九次全会精神，在市委、市政府的坚强领导和省人力资源社会保障厅的指导支持下，深入推进市委“一核三片、四区协同”“双联双拓、全域开放”战略部署，以“不忘初心、牢记使命”主题教育凝心聚力，以“清单式管理、项目化推进、活动型提升”工作方法攻坚克难，全力推动就业创业、农民工工作、人事人才、社会保障、劳动关系、脱贫攻坚、公共服务体系建设等各项工作扎实开展，圆满完成省市下达各项工作任务，为我市加快融入成渝地区双城经济圈，建设成渝发展主轴绿色经济强市，推进富民强市再上新台阶贡献了人社力量。</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1、实施就业促进行动，全市就业形势更加稳定。</w:t>
      </w:r>
      <w:r>
        <w:rPr>
          <w:rFonts w:hint="eastAsia" w:ascii="仿宋_GB2312" w:hAnsi="楷体_GB2312" w:eastAsia="仿宋_GB2312" w:cs="楷体_GB2312"/>
          <w:b/>
          <w:bCs/>
          <w:sz w:val="32"/>
          <w:szCs w:val="32"/>
        </w:rPr>
        <w:t>一是抓政策支撑稳就业。</w:t>
      </w:r>
      <w:r>
        <w:rPr>
          <w:rFonts w:hint="eastAsia" w:ascii="仿宋_GB2312" w:hAnsi="仿宋_GB2312" w:eastAsia="仿宋_GB2312"/>
          <w:sz w:val="32"/>
          <w:szCs w:val="32"/>
        </w:rPr>
        <w:t>实施就业优先战略，出台“稳就业15条”等积极就业创业政策十余个，进一步优化就业创业政策环境，促进全年城镇新增就业41573人。</w:t>
      </w:r>
      <w:r>
        <w:rPr>
          <w:rFonts w:hint="eastAsia" w:ascii="仿宋_GB2312" w:hAnsi="楷体_GB2312" w:eastAsia="仿宋_GB2312" w:cs="楷体_GB2312"/>
          <w:b/>
          <w:bCs/>
          <w:sz w:val="32"/>
          <w:szCs w:val="32"/>
        </w:rPr>
        <w:t>二是抓形势研判稳就业。</w:t>
      </w:r>
      <w:r>
        <w:rPr>
          <w:rFonts w:hint="eastAsia" w:ascii="仿宋_GB2312" w:hAnsi="仿宋_GB2312" w:eastAsia="仿宋_GB2312"/>
          <w:sz w:val="32"/>
          <w:szCs w:val="32"/>
        </w:rPr>
        <w:t>将全市100余家重点企业2.8万余个岗位纳入动态监测范围，发布就业形势分析报告20期，积极预防规模性失业风险，全市城镇登记失业率控制在3.62%以内。</w:t>
      </w:r>
      <w:r>
        <w:rPr>
          <w:rFonts w:hint="eastAsia" w:ascii="仿宋_GB2312" w:hAnsi="楷体_GB2312" w:eastAsia="仿宋_GB2312" w:cs="楷体_GB2312"/>
          <w:b/>
          <w:bCs/>
          <w:sz w:val="32"/>
          <w:szCs w:val="32"/>
        </w:rPr>
        <w:t>三是抓重点群体帮扶稳就业。</w:t>
      </w:r>
      <w:r>
        <w:rPr>
          <w:rFonts w:hint="eastAsia" w:ascii="仿宋_GB2312" w:hAnsi="仿宋_GB2312" w:eastAsia="仿宋_GB2312"/>
          <w:sz w:val="32"/>
          <w:szCs w:val="32"/>
        </w:rPr>
        <w:t>创新实施就业困难人员服务专员制度，新认定就业援助对象3462人，帮扶城镇就业困难人员实现就业5477人。开展大学生“九个一”就业创业服务活动，建设大学生实习实训基地接纳1000名大学生来遂实训，促进2019届离校未就业高校毕业生实现就业3809人，就业率达98.9%。</w:t>
      </w:r>
      <w:r>
        <w:rPr>
          <w:rFonts w:hint="eastAsia" w:ascii="仿宋_GB2312" w:hAnsi="楷体_GB2312" w:eastAsia="仿宋_GB2312" w:cs="楷体_GB2312"/>
          <w:b/>
          <w:bCs/>
          <w:sz w:val="32"/>
          <w:szCs w:val="32"/>
        </w:rPr>
        <w:t>四是抓创业扶持促就业。</w:t>
      </w:r>
      <w:r>
        <w:rPr>
          <w:rFonts w:hint="eastAsia" w:ascii="仿宋_GB2312" w:hAnsi="仿宋_GB2312" w:eastAsia="仿宋_GB2312"/>
          <w:sz w:val="32"/>
          <w:szCs w:val="32"/>
        </w:rPr>
        <w:t>承办全省第二届“天府杯”创业大赛退役军人创业组决赛，举办第四届“遂州杯”创业大赛、第二届创业培训讲师大赛。开展形式多样的创业培训2935人。发放创业担保贷款10274.2万元，创业补贴338.6万元，有力促进了创业带动就业。我市遂宁摩天时代创业项目获得四川省第二届“天府杯”创业大赛三等奖，遂宁市政府获得特殊贡献奖。</w:t>
      </w:r>
      <w:r>
        <w:rPr>
          <w:rFonts w:hint="eastAsia" w:ascii="仿宋_GB2312" w:hAnsi="楷体_GB2312" w:eastAsia="仿宋_GB2312" w:cs="楷体_GB2312"/>
          <w:b/>
          <w:bCs/>
          <w:sz w:val="32"/>
          <w:szCs w:val="32"/>
        </w:rPr>
        <w:t>五是抓公共服务稳就业。</w:t>
      </w:r>
      <w:r>
        <w:rPr>
          <w:rFonts w:hint="eastAsia" w:ascii="仿宋_GB2312" w:hAnsi="仿宋_GB2312" w:eastAsia="仿宋_GB2312"/>
          <w:sz w:val="32"/>
          <w:szCs w:val="32"/>
        </w:rPr>
        <w:t>开展“春风行动”“就业援助月”等各类就业招聘200余场，累计提供各类岗位信息11万条，为用人单位招募各类人才7.2万余人；通过各网络平台发布岗位信息11.2万余条，日均访问量突破5000人次。</w:t>
      </w:r>
      <w:r>
        <w:rPr>
          <w:rFonts w:hint="eastAsia" w:ascii="仿宋_GB2312" w:hAnsi="楷体_GB2312" w:eastAsia="仿宋_GB2312" w:cs="楷体_GB2312"/>
          <w:b/>
          <w:bCs/>
          <w:sz w:val="32"/>
          <w:szCs w:val="32"/>
        </w:rPr>
        <w:t>六是抓援企稳岗稳就业。</w:t>
      </w:r>
      <w:r>
        <w:rPr>
          <w:rFonts w:hint="eastAsia" w:ascii="仿宋_GB2312" w:hAnsi="仿宋_GB2312" w:eastAsia="仿宋_GB2312"/>
          <w:sz w:val="32"/>
          <w:szCs w:val="32"/>
        </w:rPr>
        <w:t>创新实施企业用工服务专员制度，聘任用工服务专员126名，对300余家企业提供人力资源保障服务700余次。实施失业保险援企稳岗“护航行动”，为303户企业返还失保费1033.17万元，为阶段性困难企业返还社保费1869.03万元。</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2、实施农民工工作提升行动，农民工服务保障更加有力。</w:t>
      </w:r>
      <w:r>
        <w:rPr>
          <w:rFonts w:hint="eastAsia" w:ascii="仿宋_GB2312" w:hAnsi="楷体_GB2312" w:eastAsia="仿宋_GB2312" w:cs="楷体_GB2312"/>
          <w:b/>
          <w:bCs/>
          <w:sz w:val="32"/>
          <w:szCs w:val="32"/>
        </w:rPr>
        <w:t>一是机构设置有“力度”。</w:t>
      </w:r>
      <w:r>
        <w:rPr>
          <w:rFonts w:hint="eastAsia" w:ascii="仿宋_GB2312" w:hAnsi="仿宋_GB2312" w:eastAsia="仿宋_GB2312"/>
          <w:sz w:val="32"/>
          <w:szCs w:val="32"/>
        </w:rPr>
        <w:t>在全省率先设立首个正县级农民工服务中心，设立县（市、区）正科级农民工服务中心5个，在撤并建后的所有乡镇设立农民工服务中心75个。</w:t>
      </w:r>
      <w:r>
        <w:rPr>
          <w:rFonts w:hint="eastAsia" w:ascii="仿宋_GB2312" w:hAnsi="楷体_GB2312" w:eastAsia="仿宋_GB2312" w:cs="楷体_GB2312"/>
          <w:b/>
          <w:bCs/>
          <w:sz w:val="32"/>
          <w:szCs w:val="32"/>
        </w:rPr>
        <w:t>二是就业创业有“热度”。</w:t>
      </w:r>
      <w:r>
        <w:rPr>
          <w:rFonts w:hint="eastAsia" w:ascii="仿宋_GB2312" w:hAnsi="仿宋_GB2312" w:eastAsia="仿宋_GB2312"/>
          <w:sz w:val="32"/>
          <w:szCs w:val="32"/>
        </w:rPr>
        <w:t>坚持内联外拓，不断搭建就业创业服务平台。全年劳动力转移输出就业127.36万人，实现劳务收入185.66亿元。落实“促进返乡下乡创业二十二条”，回引农民工返乡创业</w:t>
      </w:r>
      <w:r>
        <w:rPr>
          <w:rFonts w:hint="eastAsia"/>
          <w:sz w:val="32"/>
          <w:szCs w:val="32"/>
        </w:rPr>
        <w:t> </w:t>
      </w:r>
      <w:r>
        <w:rPr>
          <w:rFonts w:hint="eastAsia" w:ascii="仿宋_GB2312" w:hAnsi="仿宋_GB2312" w:eastAsia="仿宋_GB2312" w:cs="仿宋_GB2312"/>
          <w:sz w:val="32"/>
          <w:szCs w:val="32"/>
        </w:rPr>
        <w:t>3300</w:t>
      </w:r>
      <w:r>
        <w:rPr>
          <w:rFonts w:hint="eastAsia" w:ascii="仿宋_GB2312" w:hAnsi="仿宋_GB2312" w:eastAsia="仿宋_GB2312"/>
          <w:sz w:val="32"/>
          <w:szCs w:val="32"/>
        </w:rPr>
        <w:t>余人，开展完成劳务品牌培训2650人，返乡创业培训1000人。</w:t>
      </w:r>
      <w:r>
        <w:rPr>
          <w:rFonts w:hint="eastAsia" w:ascii="仿宋_GB2312" w:hAnsi="楷体_GB2312" w:eastAsia="仿宋_GB2312" w:cs="楷体_GB2312"/>
          <w:b/>
          <w:bCs/>
          <w:sz w:val="32"/>
          <w:szCs w:val="32"/>
        </w:rPr>
        <w:t>三是党建引领有“高度”。</w:t>
      </w:r>
      <w:r>
        <w:rPr>
          <w:rFonts w:hint="eastAsia" w:ascii="仿宋_GB2312" w:hAnsi="仿宋_GB2312" w:eastAsia="仿宋_GB2312"/>
          <w:sz w:val="32"/>
          <w:szCs w:val="32"/>
        </w:rPr>
        <w:t>发展农民工党员485名。将1176名优秀年轻农民工定向培养为村级后备力量。面向农民工选拔职业村支书232名。</w:t>
      </w:r>
      <w:r>
        <w:rPr>
          <w:rFonts w:hint="eastAsia" w:ascii="仿宋_GB2312" w:hAnsi="楷体_GB2312" w:eastAsia="仿宋_GB2312" w:cs="楷体_GB2312"/>
          <w:b/>
          <w:bCs/>
          <w:sz w:val="32"/>
          <w:szCs w:val="32"/>
        </w:rPr>
        <w:t>四是权益保护有“准度”。</w:t>
      </w:r>
      <w:r>
        <w:rPr>
          <w:rFonts w:hint="eastAsia" w:ascii="仿宋_GB2312" w:hAnsi="仿宋_GB2312" w:eastAsia="仿宋_GB2312"/>
          <w:sz w:val="32"/>
          <w:szCs w:val="32"/>
        </w:rPr>
        <w:t>强化农民工工资拖欠治理，2019年春节期间集中兑付3000余名农民工工资近5000余万元；开展根治欠薪夏季行动、根治欠薪冬季攻坚行动和陈积案件化解行动，兑付农民工工资3590余万元。创新建立11名律师团长效开展法律援助进工地活动，免费法律援助覆盖率达80.8%。</w:t>
      </w:r>
      <w:r>
        <w:rPr>
          <w:rFonts w:hint="eastAsia" w:ascii="仿宋_GB2312" w:hAnsi="楷体_GB2312" w:eastAsia="仿宋_GB2312" w:cs="楷体_GB2312"/>
          <w:b/>
          <w:bCs/>
          <w:sz w:val="32"/>
          <w:szCs w:val="32"/>
        </w:rPr>
        <w:t>五是关爱保障有“温度”。</w:t>
      </w:r>
      <w:r>
        <w:rPr>
          <w:rFonts w:hint="eastAsia" w:ascii="仿宋_GB2312" w:hAnsi="仿宋_GB2312" w:eastAsia="仿宋_GB2312"/>
          <w:sz w:val="32"/>
          <w:szCs w:val="32"/>
        </w:rPr>
        <w:t>市内建立农民工综合服务站点120个；市外建立农民工服务管理综合党委26个、农民工在外联络站20个。各级党委政府慰问农民工133万余人次发放慰问金1482万余元。集中为农民工办理各类证照9.4万余个。设立农民工咨询服务点和购票专柜15个，为30余万农民工提供便捷温馨服务。</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3、实施人才聚能行动，人才队伍规模更加壮大。</w:t>
      </w:r>
      <w:r>
        <w:rPr>
          <w:rFonts w:hint="eastAsia" w:ascii="仿宋_GB2312" w:hAnsi="楷体_GB2312" w:eastAsia="仿宋_GB2312" w:cs="楷体_GB2312"/>
          <w:b/>
          <w:bCs/>
          <w:sz w:val="32"/>
          <w:szCs w:val="32"/>
        </w:rPr>
        <w:t>一是培育技术技能人才。</w:t>
      </w:r>
      <w:r>
        <w:rPr>
          <w:rFonts w:hint="eastAsia" w:ascii="仿宋_GB2312" w:hAnsi="仿宋_GB2312" w:eastAsia="仿宋_GB2312"/>
          <w:sz w:val="32"/>
          <w:szCs w:val="32"/>
        </w:rPr>
        <w:t>出台《遂宁市职业技能提升行动推进方案》（2019—2021年）。完成就业技能培训、岗位提升培训、创业培训、职业能力鉴定培训等各类培训24060人次。实施技能提升补贴“展翅行动”，为338名企业职工发放技能提升补贴52.7万元。成功举办第三届“遂州技能人才大赛”和首届“遂州技术能手评选”活动。新创建8家市级技能大师工作室、1家省级高技能人才培训基地和1家国家级技能大师工作室。</w:t>
      </w:r>
      <w:r>
        <w:rPr>
          <w:rFonts w:hint="eastAsia" w:ascii="仿宋_GB2312" w:hAnsi="楷体_GB2312" w:eastAsia="仿宋_GB2312" w:cs="楷体_GB2312"/>
          <w:b/>
          <w:bCs/>
          <w:sz w:val="32"/>
          <w:szCs w:val="32"/>
        </w:rPr>
        <w:t>二是激发事业人才活力。</w:t>
      </w:r>
      <w:r>
        <w:rPr>
          <w:rFonts w:hint="eastAsia" w:ascii="仿宋_GB2312" w:hAnsi="仿宋_GB2312" w:eastAsia="仿宋_GB2312"/>
          <w:sz w:val="32"/>
          <w:szCs w:val="32"/>
        </w:rPr>
        <w:t>完善事业人员招聘、管理和奖励工作机制。完成2019年事业人员招聘考试7903人，录用389人。全年通过开展“遂州英才”招揽行动等引才活动，引进硕士及以上学历高层次人才494名，本科及以上人员3955名。完成事业单位岗位重设386个，办理市属事业单位竞聘上岗手续1108人次。</w:t>
      </w:r>
      <w:r>
        <w:rPr>
          <w:rFonts w:hint="eastAsia" w:ascii="仿宋_GB2312" w:hAnsi="楷体_GB2312" w:eastAsia="仿宋_GB2312" w:cs="楷体_GB2312"/>
          <w:b/>
          <w:bCs/>
          <w:sz w:val="32"/>
          <w:szCs w:val="32"/>
        </w:rPr>
        <w:t>三是壮大高层次人才队伍。</w:t>
      </w:r>
      <w:r>
        <w:rPr>
          <w:rFonts w:hint="eastAsia" w:ascii="仿宋_GB2312" w:hAnsi="仿宋_GB2312" w:eastAsia="仿宋_GB2312"/>
          <w:sz w:val="32"/>
          <w:szCs w:val="32"/>
        </w:rPr>
        <w:t>出台《关于分类推进人才评价机制改革的实施意见》。组织各类专业技术考试42项54015人次，实现“零事故”工作目标。组织专业技术人员网上公需科目考试通过36398人。深化职称制度改革出台《学术技术带头人评定管理办法》，评定专业技术人才职称1498名。推荐选拔“百千万工程国家级人选”4人。为高层次人才30人发放安家补助和生活补贴35.57万元，发放柔性引才补贴184人次18.4万元。</w:t>
      </w:r>
      <w:r>
        <w:rPr>
          <w:rFonts w:hint="eastAsia" w:ascii="仿宋_GB2312" w:hAnsi="楷体_GB2312" w:eastAsia="仿宋_GB2312" w:cs="楷体_GB2312"/>
          <w:b/>
          <w:bCs/>
          <w:sz w:val="32"/>
          <w:szCs w:val="32"/>
        </w:rPr>
        <w:t>四是搭建人才服务平台。</w:t>
      </w:r>
      <w:r>
        <w:rPr>
          <w:rFonts w:hint="eastAsia" w:ascii="仿宋_GB2312" w:hAnsi="仿宋_GB2312" w:eastAsia="仿宋_GB2312"/>
          <w:sz w:val="32"/>
          <w:szCs w:val="32"/>
        </w:rPr>
        <w:t>开展遂宁市专家服务团智力服务高新区专场活动、四川省专家服务团服务“5+1”现代产业体系暨高级专家回头帮走进遂宁活动。支持我市5家企业申报博士后创新实践基地。新建市级专家服务基地4家。</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4、实施社会保障行动，社会保障体系更加完善。</w:t>
      </w:r>
      <w:r>
        <w:rPr>
          <w:rFonts w:hint="eastAsia" w:ascii="仿宋_GB2312" w:hAnsi="楷体_GB2312" w:eastAsia="仿宋_GB2312" w:cs="楷体_GB2312"/>
          <w:b/>
          <w:bCs/>
          <w:sz w:val="32"/>
          <w:szCs w:val="32"/>
        </w:rPr>
        <w:t>一是实施全民参保计划。</w:t>
      </w:r>
      <w:r>
        <w:rPr>
          <w:rFonts w:hint="eastAsia" w:ascii="仿宋_GB2312" w:hAnsi="仿宋_GB2312" w:eastAsia="仿宋_GB2312"/>
          <w:sz w:val="32"/>
          <w:szCs w:val="32"/>
        </w:rPr>
        <w:t>完成103.89万未参保人员原因核查任务，大力开展精准扩面工作。截至12月末，全市城镇职工基本养老保险、机关事业单位养老保险、城乡居民基本养老保险、工伤保险参保人数分别为76.83万人、8.67万人、119.50万人、19.86万人；各类社保基金合计征收54.4亿元，运行平稳、保障有力。</w:t>
      </w:r>
      <w:r>
        <w:rPr>
          <w:rFonts w:hint="eastAsia" w:ascii="仿宋_GB2312" w:hAnsi="楷体_GB2312" w:eastAsia="仿宋_GB2312" w:cs="楷体_GB2312"/>
          <w:b/>
          <w:bCs/>
          <w:sz w:val="32"/>
          <w:szCs w:val="32"/>
        </w:rPr>
        <w:t>二是完善社会保障政策。</w:t>
      </w:r>
      <w:r>
        <w:rPr>
          <w:rFonts w:hint="eastAsia" w:ascii="仿宋_GB2312" w:hAnsi="仿宋_GB2312" w:eastAsia="仿宋_GB2312"/>
          <w:sz w:val="32"/>
          <w:szCs w:val="32"/>
        </w:rPr>
        <w:t>将职工基本养老保险企业缴费费率从19%降低至16%，继续执行失业保险缴费费率1%的政策，将工伤保险基准费率下调40%执行。为56.1万名城乡居保待遇领取人员提高待遇，拨付资金51721.07万元。</w:t>
      </w:r>
      <w:r>
        <w:rPr>
          <w:rFonts w:hint="eastAsia" w:ascii="仿宋_GB2312" w:hAnsi="楷体_GB2312" w:eastAsia="仿宋_GB2312" w:cs="楷体_GB2312"/>
          <w:b/>
          <w:bCs/>
          <w:sz w:val="32"/>
          <w:szCs w:val="32"/>
        </w:rPr>
        <w:t>三是推进社保惠企惠民。</w:t>
      </w:r>
      <w:r>
        <w:rPr>
          <w:rFonts w:hint="eastAsia" w:ascii="仿宋_GB2312" w:hAnsi="仿宋_GB2312" w:eastAsia="仿宋_GB2312"/>
          <w:sz w:val="32"/>
          <w:szCs w:val="32"/>
        </w:rPr>
        <w:t>调整养老保险缴费基数降低企业用工社保成本。做好成南达万（遂宁段）高铁建设项目等被征地农民社保安置工作。积极探索开展工伤预防试点工作。建立社保卡“一卡通”平台，为332.84万人次发放惠民惠农补贴资金9.91亿元。</w:t>
      </w:r>
      <w:r>
        <w:rPr>
          <w:rFonts w:hint="eastAsia" w:ascii="仿宋_GB2312" w:hAnsi="楷体_GB2312" w:eastAsia="仿宋_GB2312" w:cs="楷体_GB2312"/>
          <w:b/>
          <w:bCs/>
          <w:sz w:val="32"/>
          <w:szCs w:val="32"/>
        </w:rPr>
        <w:t>四是强化社保基金监管。</w:t>
      </w:r>
      <w:r>
        <w:rPr>
          <w:rFonts w:hint="eastAsia" w:ascii="仿宋_GB2312" w:hAnsi="仿宋_GB2312" w:eastAsia="仿宋_GB2312"/>
          <w:sz w:val="32"/>
          <w:szCs w:val="32"/>
        </w:rPr>
        <w:t>着力构建行政、经办、信息、监督四位一体的基金管理风险防控体系。开展社保基金管理风险防控专项整治行动排查7大方面50个具体项目。追缴死亡冒领养老保险基金932.27万元。</w:t>
      </w:r>
      <w:r>
        <w:rPr>
          <w:rFonts w:hint="eastAsia" w:ascii="仿宋_GB2312" w:hAnsi="楷体_GB2312" w:eastAsia="仿宋_GB2312" w:cs="楷体_GB2312"/>
          <w:b/>
          <w:bCs/>
          <w:sz w:val="32"/>
          <w:szCs w:val="32"/>
        </w:rPr>
        <w:t>五是提升社保经办水平。</w:t>
      </w:r>
      <w:r>
        <w:rPr>
          <w:rFonts w:hint="eastAsia" w:ascii="仿宋_GB2312" w:hAnsi="仿宋_GB2312" w:eastAsia="仿宋_GB2312"/>
          <w:sz w:val="32"/>
          <w:szCs w:val="32"/>
        </w:rPr>
        <w:t>全面实行社保综合柜员制经办服务，为参保群众就近办理社保业务88301笔，就近办理缴费业务85995笔，征收保费7.05亿元，线上自助查询权益信息851.53万人次。</w:t>
      </w:r>
    </w:p>
    <w:p>
      <w:pPr>
        <w:spacing w:line="620" w:lineRule="exact"/>
        <w:ind w:firstLine="640" w:firstLineChars="200"/>
        <w:rPr>
          <w:rFonts w:ascii="仿宋_GB2312" w:eastAsia="仿宋_GB2312"/>
          <w:sz w:val="32"/>
          <w:szCs w:val="32"/>
        </w:rPr>
      </w:pPr>
      <w:r>
        <w:rPr>
          <w:rFonts w:hint="eastAsia" w:ascii="黑体" w:hAnsi="黑体" w:eastAsia="黑体" w:cs="黑体"/>
          <w:sz w:val="32"/>
          <w:szCs w:val="32"/>
        </w:rPr>
        <w:t>5、实施权益维护行动，全市劳动关系更加和谐。</w:t>
      </w:r>
      <w:r>
        <w:rPr>
          <w:rFonts w:hint="eastAsia" w:ascii="仿宋_GB2312" w:hAnsi="楷体_GB2312" w:eastAsia="仿宋_GB2312" w:cs="楷体_GB2312"/>
          <w:b/>
          <w:bCs/>
          <w:sz w:val="32"/>
          <w:szCs w:val="32"/>
        </w:rPr>
        <w:t>一是优化收入分配格局。</w:t>
      </w:r>
      <w:r>
        <w:rPr>
          <w:rFonts w:hint="eastAsia" w:ascii="仿宋_GB2312" w:hAnsi="仿宋_GB2312" w:eastAsia="仿宋_GB2312"/>
          <w:sz w:val="32"/>
          <w:szCs w:val="32"/>
        </w:rPr>
        <w:t>对我市18类行业共167户样本企业全面开展薪酬收入调查工作。进一步完善国有企业负责人薪酬制度，指导企业建立职工工资正常增长机制。我市2019年城镇居民人均可支配收入为34854元，同比增长9.5%，在全省名列第2位。</w:t>
      </w:r>
      <w:r>
        <w:rPr>
          <w:rFonts w:hint="eastAsia" w:ascii="仿宋_GB2312" w:hAnsi="楷体_GB2312" w:eastAsia="仿宋_GB2312" w:cs="楷体_GB2312"/>
          <w:b/>
          <w:bCs/>
          <w:sz w:val="32"/>
          <w:szCs w:val="32"/>
        </w:rPr>
        <w:t>二是开展治欠保支行动。</w:t>
      </w:r>
      <w:r>
        <w:rPr>
          <w:rFonts w:hint="eastAsia" w:ascii="仿宋_GB2312" w:hAnsi="仿宋_GB2312" w:eastAsia="仿宋_GB2312"/>
          <w:sz w:val="32"/>
          <w:szCs w:val="32"/>
        </w:rPr>
        <w:t>完善治欠保支工作制度机制，召开现场工作推进会，</w:t>
      </w:r>
      <w:r>
        <w:rPr>
          <w:rFonts w:hint="eastAsia" w:ascii="仿宋_GB2312" w:eastAsia="仿宋_GB2312"/>
          <w:sz w:val="32"/>
          <w:szCs w:val="32"/>
        </w:rPr>
        <w:t>对各县（市、区）、建设主管部门、重点工程项目开展3次集中实地</w:t>
      </w:r>
      <w:r>
        <w:rPr>
          <w:rFonts w:hint="eastAsia" w:ascii="仿宋_GB2312" w:hAnsi="仿宋_GB2312" w:eastAsia="仿宋_GB2312"/>
          <w:sz w:val="32"/>
          <w:szCs w:val="32"/>
        </w:rPr>
        <w:t>专项执法检查，确保治欠保支核心指标全面完成。截至12月底，全市劳动合同签订率97.8%，全市在建工程项目总包直发率96%、建立农民工工资专用账户率99.1%、按月足额实名实人发放工资率99.2%、政府投资工程项目100%无欠薪。</w:t>
      </w:r>
      <w:r>
        <w:rPr>
          <w:rFonts w:hint="eastAsia" w:ascii="仿宋_GB2312" w:hAnsi="楷体_GB2312" w:eastAsia="仿宋_GB2312" w:cs="楷体_GB2312"/>
          <w:b/>
          <w:bCs/>
          <w:sz w:val="32"/>
          <w:szCs w:val="32"/>
        </w:rPr>
        <w:t>三是构建和谐劳动关系。</w:t>
      </w:r>
      <w:r>
        <w:rPr>
          <w:rFonts w:hint="eastAsia" w:ascii="仿宋_GB2312" w:hAnsi="仿宋_GB2312" w:eastAsia="仿宋_GB2312"/>
          <w:sz w:val="32"/>
          <w:szCs w:val="32"/>
        </w:rPr>
        <w:t>推进企业诚信建设完成第八批“守信红名单”企业考核。大力构建多元矛盾化解体系，全年成功</w:t>
      </w:r>
      <w:r>
        <w:rPr>
          <w:rFonts w:hint="eastAsia" w:ascii="仿宋_GB2312" w:eastAsia="仿宋_GB2312"/>
          <w:sz w:val="32"/>
          <w:szCs w:val="32"/>
        </w:rPr>
        <w:t>调</w:t>
      </w:r>
      <w:r>
        <w:rPr>
          <w:rFonts w:hint="eastAsia" w:ascii="仿宋_GB2312" w:hAnsi="仿宋_GB2312" w:eastAsia="仿宋_GB2312"/>
          <w:sz w:val="32"/>
          <w:szCs w:val="32"/>
        </w:rPr>
        <w:t>解劳动争议案件475件，仲裁劳动人事争议案件484件，涉及1192人1894.17万元，当期结案率为99.79%。</w:t>
      </w:r>
    </w:p>
    <w:p>
      <w:pPr>
        <w:spacing w:line="620" w:lineRule="exact"/>
        <w:ind w:firstLine="640" w:firstLineChars="200"/>
        <w:rPr>
          <w:rFonts w:ascii="仿宋_GB2312" w:hAnsi="仿宋_GB2312" w:eastAsia="仿宋_GB2312"/>
          <w:sz w:val="32"/>
          <w:szCs w:val="32"/>
        </w:rPr>
      </w:pPr>
      <w:r>
        <w:rPr>
          <w:rFonts w:hint="eastAsia" w:ascii="黑体" w:hAnsi="黑体" w:eastAsia="黑体" w:cs="黑体"/>
          <w:sz w:val="32"/>
          <w:szCs w:val="32"/>
        </w:rPr>
        <w:t>6、实施满意人社行动，人社服务体系更加完善。</w:t>
      </w:r>
      <w:r>
        <w:rPr>
          <w:rFonts w:hint="eastAsia" w:ascii="仿宋_GB2312" w:hAnsi="楷体_GB2312" w:eastAsia="仿宋_GB2312" w:cs="楷体_GB2312"/>
          <w:b/>
          <w:bCs/>
          <w:sz w:val="32"/>
          <w:szCs w:val="32"/>
        </w:rPr>
        <w:t>一是推进服务平台标准化。</w:t>
      </w:r>
      <w:r>
        <w:rPr>
          <w:rFonts w:hint="eastAsia" w:ascii="仿宋_GB2312" w:hAnsi="仿宋_GB2312" w:eastAsia="仿宋_GB2312"/>
          <w:sz w:val="32"/>
          <w:szCs w:val="32"/>
        </w:rPr>
        <w:t>按照《遂宁市基层人力资源和社会保障公共服务平台标准化建设规划（2018-2020年）》，大力构建人社经办业务“城市10分钟+农村30分钟”办事圈。全市共建成基层人社服务平台1043个；建成8个县（市、区）级综合服务分中心。</w:t>
      </w:r>
      <w:r>
        <w:rPr>
          <w:rFonts w:hint="eastAsia" w:ascii="仿宋_GB2312" w:hAnsi="楷体_GB2312" w:eastAsia="仿宋_GB2312" w:cs="楷体_GB2312"/>
          <w:b/>
          <w:bCs/>
          <w:sz w:val="32"/>
          <w:szCs w:val="32"/>
        </w:rPr>
        <w:t>二是推进服务基础信息化。</w:t>
      </w:r>
      <w:r>
        <w:rPr>
          <w:rFonts w:hint="eastAsia" w:ascii="仿宋_GB2312" w:hAnsi="仿宋_GB2312" w:eastAsia="仿宋_GB2312"/>
          <w:sz w:val="32"/>
          <w:szCs w:val="32"/>
        </w:rPr>
        <w:t>实现省、市、县、乡四级金保网络贯通并向社区延伸，全市建成社银一体化网点216个，配置自助终端557台。12333电话咨询服务热线受理各类咨询18.8万件次。</w:t>
      </w:r>
      <w:r>
        <w:rPr>
          <w:rFonts w:hint="eastAsia" w:ascii="仿宋_GB2312" w:hAnsi="仿宋" w:eastAsia="仿宋_GB2312"/>
          <w:sz w:val="32"/>
          <w:szCs w:val="32"/>
        </w:rPr>
        <w:t>开发上线微信公众号实现社保自助缴费、权益查询、生存认证等“掌上办理”。</w:t>
      </w:r>
      <w:r>
        <w:rPr>
          <w:rFonts w:hint="eastAsia" w:ascii="仿宋_GB2312" w:hAnsi="楷体_GB2312" w:eastAsia="仿宋_GB2312" w:cs="楷体_GB2312"/>
          <w:b/>
          <w:bCs/>
          <w:sz w:val="32"/>
          <w:szCs w:val="32"/>
        </w:rPr>
        <w:t>三是推进服务机制协同化。</w:t>
      </w:r>
      <w:r>
        <w:rPr>
          <w:rFonts w:hint="eastAsia" w:ascii="仿宋_GB2312" w:hAnsi="仿宋_GB2312" w:eastAsia="仿宋_GB2312"/>
          <w:sz w:val="32"/>
          <w:szCs w:val="32"/>
        </w:rPr>
        <w:t>深化“放管服”改革，全面梳理机构改革后我局行政权</w:t>
      </w:r>
      <w:r>
        <w:rPr>
          <w:rFonts w:hint="eastAsia" w:ascii="仿宋_GB2312" w:hAnsi="仿宋_GB2312" w:eastAsia="仿宋_GB2312"/>
          <w:sz w:val="32"/>
          <w:szCs w:val="32"/>
          <w:lang w:eastAsia="zh-CN"/>
        </w:rPr>
        <w:t>力</w:t>
      </w:r>
      <w:r>
        <w:rPr>
          <w:rFonts w:hint="eastAsia" w:ascii="仿宋_GB2312" w:hAnsi="仿宋_GB2312" w:eastAsia="仿宋_GB2312"/>
          <w:sz w:val="32"/>
          <w:szCs w:val="32"/>
        </w:rPr>
        <w:t>事项66项；公共服务事项139项，实现全程网办132项，全程网办率达94.96%，并通过信息化手段下延业务45项。</w:t>
      </w:r>
      <w:r>
        <w:rPr>
          <w:rFonts w:hint="eastAsia" w:ascii="仿宋_GB2312" w:hAnsi="楷体_GB2312" w:eastAsia="仿宋_GB2312" w:cs="楷体_GB2312"/>
          <w:b/>
          <w:bCs/>
          <w:sz w:val="32"/>
          <w:szCs w:val="32"/>
        </w:rPr>
        <w:t>四是推进服务行为专业化。</w:t>
      </w:r>
      <w:r>
        <w:rPr>
          <w:rFonts w:hint="eastAsia" w:ascii="仿宋_GB2312" w:eastAsia="仿宋_GB2312"/>
          <w:sz w:val="32"/>
          <w:szCs w:val="32"/>
        </w:rPr>
        <w:t>实施“服务能力提升计划”，积极开展预约服务、延时服务、上门服务、应急服务、“菜单式”服务等便民新模式。全市市、县、乡、社区四级联动开展8个单项业务板块比武练兵活动，我局荣获全省综合比武三等奖。我局系统政风行风群众满意度测评升至全省第7位，市人力资源市场被评为全国优质服务窗口。</w:t>
      </w:r>
    </w:p>
    <w:p>
      <w:pPr>
        <w:spacing w:line="620" w:lineRule="exact"/>
        <w:ind w:firstLine="640" w:firstLineChars="200"/>
        <w:rPr>
          <w:rFonts w:ascii="仿宋_GB2312" w:hAnsi="黑体" w:eastAsia="仿宋_GB2312" w:cs="黑体"/>
          <w:sz w:val="32"/>
          <w:szCs w:val="32"/>
        </w:rPr>
      </w:pPr>
      <w:r>
        <w:rPr>
          <w:rFonts w:hint="eastAsia" w:ascii="黑体" w:hAnsi="黑体" w:eastAsia="黑体" w:cs="黑体"/>
          <w:sz w:val="32"/>
          <w:szCs w:val="32"/>
        </w:rPr>
        <w:t>7、实施精准扶贫行动，人社扶贫成效更加显著。</w:t>
      </w:r>
      <w:r>
        <w:rPr>
          <w:rFonts w:hint="eastAsia" w:ascii="仿宋_GB2312" w:hAnsi="楷体_GB2312" w:eastAsia="仿宋_GB2312" w:cs="楷体_GB2312"/>
          <w:b/>
          <w:bCs/>
          <w:sz w:val="32"/>
          <w:szCs w:val="32"/>
        </w:rPr>
        <w:t>一是实施就业扶贫“1234工程”。</w:t>
      </w:r>
      <w:r>
        <w:rPr>
          <w:rFonts w:hint="eastAsia" w:ascii="仿宋_GB2312" w:hAnsi="仿宋_GB2312" w:eastAsia="仿宋_GB2312"/>
          <w:sz w:val="32"/>
          <w:szCs w:val="32"/>
        </w:rPr>
        <w:t>全力落实就业扶贫15条措施，做细“一库五名单”台账，抓实“三示范”载体建设，开展就业扶贫“三大行动”。全年举办扶贫专场招聘会和送岗位“下乡入村”135场次，提供岗位107946个；开展各项就业培训3430人；稳定农村公益性岗位2451个；新建就业扶贫示范基地17家、就业扶贫示范村15个、就业扶贫车间21个。我市被定为全省就业扶贫流动现场会唯一非连片贫困地区参观学习点，并在大会作经验交流发言。</w:t>
      </w:r>
      <w:r>
        <w:rPr>
          <w:rFonts w:hint="eastAsia" w:ascii="仿宋_GB2312" w:hAnsi="楷体_GB2312" w:eastAsia="仿宋_GB2312" w:cs="楷体_GB2312"/>
          <w:b/>
          <w:bCs/>
          <w:sz w:val="32"/>
          <w:szCs w:val="32"/>
        </w:rPr>
        <w:t>二是全面落实社保扶贫政策。</w:t>
      </w:r>
      <w:r>
        <w:rPr>
          <w:rFonts w:hint="eastAsia" w:ascii="仿宋_GB2312" w:hAnsi="仿宋_GB2312" w:eastAsia="仿宋_GB2312"/>
          <w:sz w:val="32"/>
          <w:szCs w:val="32"/>
        </w:rPr>
        <w:t>为建档立卡贫困人员、低保户、特困人员等12.8万名贫困群众按照每人每年300元代缴城乡居保费3344.52万元。60周岁以上符合条件的贫困人口实现了城乡居保养老待遇“应发尽发”。</w:t>
      </w:r>
      <w:r>
        <w:rPr>
          <w:rFonts w:hint="eastAsia" w:ascii="仿宋_GB2312" w:hAnsi="楷体_GB2312" w:eastAsia="仿宋_GB2312" w:cs="楷体_GB2312"/>
          <w:b/>
          <w:bCs/>
          <w:sz w:val="32"/>
          <w:szCs w:val="32"/>
        </w:rPr>
        <w:t>三是大力实施“三支一扶”计划。</w:t>
      </w:r>
      <w:r>
        <w:rPr>
          <w:rFonts w:hint="eastAsia" w:ascii="仿宋_GB2312" w:hAnsi="仿宋_GB2312" w:eastAsia="仿宋_GB2312"/>
          <w:sz w:val="32"/>
          <w:szCs w:val="32"/>
        </w:rPr>
        <w:t>新招募19名高校毕业生到农村一线支医、支教、支农、扶贫,累计开展“三支一扶”岗位培训48人次。</w:t>
      </w:r>
      <w:r>
        <w:rPr>
          <w:rFonts w:hint="eastAsia" w:ascii="仿宋_GB2312" w:hAnsi="楷体_GB2312" w:eastAsia="仿宋_GB2312" w:cs="楷体_GB2312"/>
          <w:b/>
          <w:bCs/>
          <w:sz w:val="32"/>
          <w:szCs w:val="32"/>
        </w:rPr>
        <w:t>四是深化对口帮扶工作。</w:t>
      </w:r>
      <w:r>
        <w:rPr>
          <w:rFonts w:hint="eastAsia" w:ascii="仿宋_GB2312" w:hAnsi="仿宋_GB2312" w:eastAsia="仿宋_GB2312"/>
          <w:sz w:val="32"/>
          <w:szCs w:val="32"/>
        </w:rPr>
        <w:t>深化与理县、道孚、新龙、乡城4个深度贫困县的对口帮扶，落实扶贫培训、就业援助、“以购代扶”活动、干部交流等帮扶举措。扎实做好龙翔村结对帮扶工作，我局被评为脱贫攻坚“五个一”帮扶先进集体。</w:t>
      </w:r>
    </w:p>
    <w:p>
      <w:pPr>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8、实施本领锤炼行动，干部队伍建设更加有力。</w:t>
      </w:r>
      <w:r>
        <w:rPr>
          <w:rFonts w:hint="eastAsia" w:ascii="仿宋_GB2312" w:hAnsi="楷体_GB2312" w:eastAsia="仿宋_GB2312" w:cs="楷体_GB2312"/>
          <w:b/>
          <w:bCs/>
          <w:sz w:val="32"/>
          <w:szCs w:val="32"/>
        </w:rPr>
        <w:t>1.大力倡导学习之风。</w:t>
      </w:r>
      <w:r>
        <w:rPr>
          <w:rFonts w:hint="eastAsia" w:ascii="仿宋_GB2312" w:hAnsi="仿宋_GB2312" w:eastAsia="仿宋_GB2312"/>
          <w:sz w:val="32"/>
          <w:szCs w:val="32"/>
        </w:rPr>
        <w:t>制定《干部职工学习计划》《支部重点学习清单》《2019年度调研计划》，创新开展“一月一学、一季一研讨</w:t>
      </w:r>
      <w:r>
        <w:rPr>
          <w:rFonts w:hint="eastAsia" w:ascii="仿宋_GB2312" w:hAnsi="仿宋_GB2312" w:eastAsia="仿宋_GB2312" w:cs="仿宋_GB2312"/>
          <w:sz w:val="32"/>
          <w:szCs w:val="32"/>
        </w:rPr>
        <w:t>”，开展党组中心组集中学习15次、干部职工学习会12次。</w:t>
      </w:r>
      <w:r>
        <w:rPr>
          <w:rFonts w:hint="eastAsia" w:ascii="仿宋_GB2312" w:hAnsi="楷体_GB2312" w:eastAsia="仿宋_GB2312" w:cs="楷体_GB2312"/>
          <w:b/>
          <w:bCs/>
          <w:sz w:val="32"/>
          <w:szCs w:val="32"/>
        </w:rPr>
        <w:t>2.抓实人社党建工作。</w:t>
      </w:r>
      <w:r>
        <w:rPr>
          <w:rFonts w:hint="eastAsia" w:ascii="仿宋_GB2312" w:hAnsi="仿宋_GB2312" w:eastAsia="仿宋_GB2312" w:cs="仿宋_GB2312"/>
          <w:sz w:val="32"/>
          <w:szCs w:val="32"/>
        </w:rPr>
        <w:t>大力推进“党员积分制”工作。全局各党支部开展爱国主义教育、廉政警示教育、脱贫帮扶慰问等活动100余场次。组织4个基层党组织换届选举，转正预备党员1名，发展入党积极分子3名。局机关一支部被评为市直机关“五好党支部”，3名党员获评市直机关“优秀共产党员”“优秀党务工作者”。</w:t>
      </w:r>
      <w:r>
        <w:rPr>
          <w:rFonts w:hint="eastAsia" w:ascii="仿宋_GB2312" w:hAnsi="仿宋_GB2312" w:eastAsia="仿宋_GB2312"/>
          <w:sz w:val="32"/>
          <w:szCs w:val="32"/>
        </w:rPr>
        <w:t>大我局获得“全市机关党建理论研究成果三等奖”“全市党建研究优秀奖”</w:t>
      </w:r>
      <w:r>
        <w:rPr>
          <w:rFonts w:hint="eastAsia" w:ascii="仿宋_GB2312" w:hAnsi="楷体_GB2312" w:eastAsia="仿宋_GB2312" w:cs="楷体_GB2312"/>
          <w:sz w:val="32"/>
          <w:szCs w:val="32"/>
        </w:rPr>
        <w:t>。</w:t>
      </w:r>
      <w:r>
        <w:rPr>
          <w:rFonts w:hint="eastAsia" w:ascii="仿宋_GB2312" w:hAnsi="楷体_GB2312" w:eastAsia="仿宋_GB2312" w:cs="楷体_GB2312"/>
          <w:b/>
          <w:bCs/>
          <w:sz w:val="32"/>
          <w:szCs w:val="32"/>
        </w:rPr>
        <w:t>3.大力开展练兵比武。</w:t>
      </w:r>
      <w:r>
        <w:rPr>
          <w:rFonts w:hint="eastAsia" w:ascii="仿宋_GB2312" w:hAnsi="仿宋_GB2312" w:eastAsia="仿宋_GB2312" w:cs="仿宋_GB2312"/>
          <w:sz w:val="32"/>
          <w:szCs w:val="32"/>
        </w:rPr>
        <w:t>市、县、乡、社区四级联动开展8个单项业务板块比武练兵，我局荣获全省综合比武三等奖。</w:t>
      </w:r>
      <w:r>
        <w:rPr>
          <w:rFonts w:hint="eastAsia" w:ascii="仿宋_GB2312" w:hAnsi="楷体_GB2312" w:eastAsia="仿宋_GB2312" w:cs="楷体_GB2312"/>
          <w:b/>
          <w:bCs/>
          <w:sz w:val="32"/>
          <w:szCs w:val="32"/>
        </w:rPr>
        <w:t>4.狠抓政风行风建设。</w:t>
      </w:r>
      <w:r>
        <w:rPr>
          <w:rFonts w:hint="eastAsia" w:ascii="仿宋_GB2312" w:hAnsi="仿宋_GB2312" w:eastAsia="仿宋_GB2312" w:cs="仿宋_GB2312"/>
          <w:sz w:val="32"/>
          <w:szCs w:val="32"/>
        </w:rPr>
        <w:t>深入推进系统政风行风三年行动规划，开展不担当不作为、形式主义官僚主义问题专项整治。全面加强干部平时考核管理工作。</w:t>
      </w:r>
      <w:r>
        <w:rPr>
          <w:rFonts w:hint="eastAsia" w:ascii="仿宋_GB2312" w:hAnsi="楷体_GB2312" w:eastAsia="仿宋_GB2312" w:cs="楷体_GB2312"/>
          <w:b/>
          <w:bCs/>
          <w:sz w:val="32"/>
          <w:szCs w:val="32"/>
        </w:rPr>
        <w:t>5.扎实开展主题教育。</w:t>
      </w:r>
      <w:r>
        <w:rPr>
          <w:rFonts w:hint="eastAsia" w:ascii="仿宋_GB2312" w:hAnsi="仿宋_GB2312" w:eastAsia="仿宋_GB2312" w:cs="仿宋_GB2312"/>
          <w:sz w:val="32"/>
          <w:szCs w:val="32"/>
        </w:rPr>
        <w:t>印发“不忘初心、牢记使命”主题教育“1+4+3”实施方案，高质量开展主题教育各项工作</w:t>
      </w:r>
      <w:r>
        <w:rPr>
          <w:rFonts w:hint="eastAsia" w:ascii="仿宋_GB2312" w:hAnsi="仿宋_GB2312" w:eastAsia="仿宋_GB2312"/>
          <w:sz w:val="32"/>
          <w:szCs w:val="32"/>
        </w:rPr>
        <w:t>。在全市主题教育总结会上，市委革军书记传达了省委清华书记对遂宁率先成立农民工服务机构的表扬，对我局创新开展农民工服务保障“十个一”活动、根治农民工欠薪工作给予了充分肯定。</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2019年，市直人力资源社会保障部门狠抓制度建设和工作成效，各方面工作稳步推进，根据《2019年市级部门整体支出绩效评价指标体系》自评得分89分，财政支出绩效为“良”。</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1.预算完成率有待提高。</w:t>
      </w:r>
      <w:r>
        <w:rPr>
          <w:rFonts w:hint="eastAsia" w:ascii="仿宋_GB2312" w:hAnsi="仿宋_GB2312" w:eastAsia="仿宋_GB2312" w:cs="仿宋_GB2312"/>
          <w:sz w:val="32"/>
          <w:szCs w:val="32"/>
        </w:rPr>
        <w:t>由于部分项目资金下达时间较晚，未能及时使用拨付。有些项目具有工作延续性，结算支出时间滞后导致预算完成率略低，有待进一步提高。</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2.预算调整率偏高。</w:t>
      </w:r>
      <w:r>
        <w:rPr>
          <w:rFonts w:hint="eastAsia" w:ascii="仿宋_GB2312" w:hAnsi="仿宋_GB2312" w:eastAsia="仿宋_GB2312" w:cs="仿宋_GB2312"/>
          <w:sz w:val="32"/>
          <w:szCs w:val="32"/>
        </w:rPr>
        <w:t>本年预算执行中，预算调整率偏高，主要原因是年中追加较多。追加一方面来自人员经费的政策性追加，另一方面来项目支出追加。</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（三）改进建议</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1.加强预算执行管理。</w:t>
      </w:r>
      <w:r>
        <w:rPr>
          <w:rFonts w:hint="eastAsia" w:ascii="仿宋_GB2312" w:hAnsi="仿宋_GB2312" w:eastAsia="仿宋_GB2312" w:cs="仿宋_GB2312"/>
          <w:sz w:val="32"/>
          <w:szCs w:val="32"/>
        </w:rPr>
        <w:t>加强预算编制的前瞻性，按照新《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遵循预算管理办法，从严控制年中追加预算规模。对于年度无法预计的临时追加的相关工作所需费用，严格按照预算调整追加程序，逐级申报报批，有效降低预算控制率。</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2.保障预算执行进度。</w:t>
      </w:r>
      <w:r>
        <w:rPr>
          <w:rFonts w:hint="eastAsia" w:ascii="仿宋_GB2312" w:hAnsi="仿宋_GB2312" w:eastAsia="仿宋_GB2312" w:cs="仿宋_GB2312"/>
          <w:sz w:val="32"/>
          <w:szCs w:val="32"/>
        </w:rPr>
        <w:t>加快项目实施进度的推进，定期做好支出财务分析，及时对预算执行情况进行通报和预警。加强项目开展进度的跟踪，开展项目绩效评价，加强对绩效管理工作的跟踪督查，做到绩效管理有依据、按程序、有奖惩，实现绩效管理的规范化、常态化，确保项目绩效目标的完成，发挥资金的使用效益，压减年末结余资金规模，提高预算完成率。预算财务分析常态化，定期对下属预算单位的预算执行情况进行检查，做好部门整体支出预算评价工作。</w:t>
      </w:r>
    </w:p>
    <w:p>
      <w:pPr>
        <w:snapToGrid w:val="0"/>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3.进一步加强财务管理。</w:t>
      </w:r>
      <w:r>
        <w:rPr>
          <w:rFonts w:hint="eastAsia" w:ascii="仿宋_GB2312" w:hAnsi="仿宋_GB2312" w:eastAsia="仿宋_GB2312" w:cs="仿宋_GB2312"/>
          <w:sz w:val="32"/>
          <w:szCs w:val="32"/>
        </w:rPr>
        <w:t>严格财务审核，提高财务的精细化管理。按照预算规定的项目和用途进行资金使用的审核，在预算金额内严格控制费用的支出，控制超支现象的发生。严格按照实际的费用支出内容进行财务核算，确保财务核算的真实、及时、准确、完整。</w:t>
      </w:r>
    </w:p>
    <w:p>
      <w:pPr>
        <w:spacing w:line="620" w:lineRule="exact"/>
        <w:rPr>
          <w:rFonts w:ascii="仿宋_GB2312" w:hAnsi="仿宋_GB2312" w:eastAsia="仿宋_GB2312" w:cs="仿宋_GB2312"/>
          <w:sz w:val="32"/>
          <w:szCs w:val="32"/>
        </w:rPr>
      </w:pPr>
    </w:p>
    <w:p>
      <w:pPr>
        <w:spacing w:line="620" w:lineRule="exact"/>
        <w:rPr>
          <w:rFonts w:ascii="仿宋_GB2312" w:hAnsi="仿宋_GB2312" w:eastAsia="仿宋_GB2312" w:cs="仿宋_GB2312"/>
          <w:sz w:val="32"/>
          <w:szCs w:val="32"/>
        </w:rPr>
      </w:pPr>
    </w:p>
    <w:p>
      <w:pPr>
        <w:spacing w:line="6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遂宁市人力资源和社会保障局</w:t>
      </w:r>
    </w:p>
    <w:p>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2020年7月20日</w:t>
      </w:r>
    </w:p>
    <w:p>
      <w:pPr>
        <w:rPr>
          <w:rStyle w:val="22"/>
          <w:rFonts w:ascii="黑体" w:hAnsi="黑体" w:eastAsia="黑体"/>
          <w:b w:val="0"/>
          <w:bCs w:val="0"/>
          <w:sz w:val="32"/>
          <w:szCs w:val="32"/>
        </w:rPr>
      </w:pPr>
    </w:p>
    <w:p>
      <w:pPr>
        <w:rPr>
          <w:rStyle w:val="22"/>
          <w:rFonts w:ascii="黑体" w:hAnsi="黑体" w:eastAsia="黑体"/>
          <w:b w:val="0"/>
          <w:bCs w:val="0"/>
          <w:sz w:val="32"/>
          <w:szCs w:val="32"/>
        </w:rPr>
      </w:pPr>
    </w:p>
    <w:p>
      <w:pPr>
        <w:rPr>
          <w:rStyle w:val="22"/>
          <w:rFonts w:ascii="黑体" w:hAnsi="黑体" w:eastAsia="黑体"/>
          <w:b w:val="0"/>
          <w:bCs w:val="0"/>
          <w:sz w:val="32"/>
          <w:szCs w:val="32"/>
        </w:rPr>
      </w:pPr>
    </w:p>
    <w:p>
      <w:pPr>
        <w:rPr>
          <w:rFonts w:ascii="黑体" w:hAnsi="黑体" w:eastAsia="黑体"/>
          <w:sz w:val="32"/>
          <w:szCs w:val="32"/>
        </w:rPr>
      </w:pPr>
      <w:r>
        <w:rPr>
          <w:rFonts w:hint="eastAsia" w:ascii="黑体" w:hAnsi="黑体" w:eastAsia="黑体"/>
          <w:sz w:val="32"/>
          <w:szCs w:val="32"/>
        </w:rPr>
        <w:t>附件2</w:t>
      </w:r>
    </w:p>
    <w:p>
      <w:pPr>
        <w:jc w:val="center"/>
        <w:rPr>
          <w:rFonts w:ascii="仿宋_GB2312" w:hAnsi="仿宋" w:eastAsia="仿宋_GB2312"/>
          <w:sz w:val="32"/>
          <w:szCs w:val="32"/>
        </w:rPr>
      </w:pPr>
      <w:r>
        <w:rPr>
          <w:rFonts w:hint="eastAsia" w:ascii="方正小标宋简体" w:eastAsia="方正小标宋简体"/>
          <w:sz w:val="40"/>
          <w:szCs w:val="40"/>
        </w:rPr>
        <w:t>2020年市级部门整体支出绩效评价指标体系</w:t>
      </w:r>
    </w:p>
    <w:tbl>
      <w:tblPr>
        <w:tblStyle w:val="16"/>
        <w:tblW w:w="963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8"/>
        <w:gridCol w:w="354"/>
        <w:gridCol w:w="373"/>
        <w:gridCol w:w="299"/>
        <w:gridCol w:w="299"/>
        <w:gridCol w:w="821"/>
        <w:gridCol w:w="3760"/>
        <w:gridCol w:w="349"/>
        <w:gridCol w:w="422"/>
        <w:gridCol w:w="433"/>
        <w:gridCol w:w="370"/>
        <w:gridCol w:w="47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1542" w:type="dxa"/>
            <w:gridSpan w:val="3"/>
            <w:shd w:val="clear" w:color="auto" w:fill="auto"/>
            <w:vAlign w:val="center"/>
          </w:tcPr>
          <w:p>
            <w:pPr>
              <w:jc w:val="center"/>
              <w:rPr>
                <w:b/>
                <w:bCs/>
                <w:sz w:val="20"/>
                <w:szCs w:val="20"/>
              </w:rPr>
            </w:pPr>
            <w:r>
              <w:rPr>
                <w:rFonts w:hint="eastAsia"/>
                <w:b/>
                <w:bCs/>
                <w:sz w:val="20"/>
                <w:szCs w:val="20"/>
              </w:rPr>
              <w:t>绩效指标</w:t>
            </w:r>
          </w:p>
        </w:tc>
        <w:tc>
          <w:tcPr>
            <w:tcW w:w="394" w:type="dxa"/>
            <w:vMerge w:val="restart"/>
            <w:shd w:val="clear" w:color="auto" w:fill="auto"/>
            <w:vAlign w:val="center"/>
          </w:tcPr>
          <w:p>
            <w:pPr>
              <w:jc w:val="center"/>
              <w:rPr>
                <w:b/>
                <w:bCs/>
                <w:sz w:val="20"/>
                <w:szCs w:val="20"/>
              </w:rPr>
            </w:pPr>
            <w:r>
              <w:rPr>
                <w:rFonts w:hint="eastAsia"/>
                <w:b/>
                <w:bCs/>
                <w:sz w:val="20"/>
                <w:szCs w:val="20"/>
              </w:rPr>
              <w:t>指标分值</w:t>
            </w:r>
          </w:p>
        </w:tc>
        <w:tc>
          <w:tcPr>
            <w:tcW w:w="393" w:type="dxa"/>
            <w:vMerge w:val="restart"/>
            <w:shd w:val="clear" w:color="auto" w:fill="auto"/>
            <w:vAlign w:val="center"/>
          </w:tcPr>
          <w:p>
            <w:pPr>
              <w:jc w:val="center"/>
              <w:rPr>
                <w:b/>
                <w:bCs/>
                <w:sz w:val="20"/>
                <w:szCs w:val="20"/>
              </w:rPr>
            </w:pPr>
            <w:r>
              <w:rPr>
                <w:rFonts w:hint="eastAsia"/>
                <w:b/>
                <w:bCs/>
                <w:sz w:val="20"/>
                <w:szCs w:val="20"/>
              </w:rPr>
              <w:t>自查得分</w:t>
            </w:r>
          </w:p>
        </w:tc>
        <w:tc>
          <w:tcPr>
            <w:tcW w:w="1215" w:type="dxa"/>
            <w:vMerge w:val="restart"/>
            <w:shd w:val="clear" w:color="auto" w:fill="auto"/>
            <w:vAlign w:val="center"/>
          </w:tcPr>
          <w:p>
            <w:pPr>
              <w:jc w:val="center"/>
              <w:rPr>
                <w:b/>
                <w:bCs/>
                <w:sz w:val="20"/>
                <w:szCs w:val="20"/>
              </w:rPr>
            </w:pPr>
            <w:r>
              <w:rPr>
                <w:rFonts w:hint="eastAsia"/>
                <w:b/>
                <w:bCs/>
                <w:sz w:val="20"/>
                <w:szCs w:val="20"/>
              </w:rPr>
              <w:t>指标解释</w:t>
            </w:r>
          </w:p>
        </w:tc>
        <w:tc>
          <w:tcPr>
            <w:tcW w:w="5843" w:type="dxa"/>
            <w:vMerge w:val="restart"/>
            <w:shd w:val="clear" w:color="auto" w:fill="auto"/>
            <w:vAlign w:val="center"/>
          </w:tcPr>
          <w:p>
            <w:pPr>
              <w:jc w:val="center"/>
              <w:rPr>
                <w:b/>
                <w:bCs/>
                <w:sz w:val="20"/>
                <w:szCs w:val="20"/>
              </w:rPr>
            </w:pPr>
            <w:r>
              <w:rPr>
                <w:rFonts w:hint="eastAsia"/>
                <w:b/>
                <w:bCs/>
                <w:sz w:val="20"/>
                <w:szCs w:val="20"/>
              </w:rPr>
              <w:t>计分标准</w:t>
            </w:r>
          </w:p>
        </w:tc>
        <w:tc>
          <w:tcPr>
            <w:tcW w:w="1060" w:type="dxa"/>
            <w:gridSpan w:val="2"/>
            <w:shd w:val="clear" w:color="auto" w:fill="auto"/>
            <w:vAlign w:val="center"/>
          </w:tcPr>
          <w:p>
            <w:pPr>
              <w:jc w:val="center"/>
              <w:rPr>
                <w:b/>
                <w:bCs/>
                <w:sz w:val="20"/>
                <w:szCs w:val="20"/>
              </w:rPr>
            </w:pPr>
            <w:r>
              <w:rPr>
                <w:rFonts w:hint="eastAsia"/>
                <w:b/>
                <w:bCs/>
                <w:sz w:val="20"/>
                <w:szCs w:val="20"/>
              </w:rPr>
              <w:t>评价方式</w:t>
            </w:r>
          </w:p>
        </w:tc>
        <w:tc>
          <w:tcPr>
            <w:tcW w:w="1109" w:type="dxa"/>
            <w:gridSpan w:val="2"/>
            <w:shd w:val="clear" w:color="auto" w:fill="auto"/>
            <w:vAlign w:val="center"/>
          </w:tcPr>
          <w:p>
            <w:pPr>
              <w:jc w:val="center"/>
              <w:rPr>
                <w:b/>
                <w:bCs/>
                <w:sz w:val="20"/>
                <w:szCs w:val="20"/>
              </w:rPr>
            </w:pPr>
            <w:r>
              <w:rPr>
                <w:rFonts w:hint="eastAsia"/>
                <w:b/>
                <w:bCs/>
                <w:sz w:val="20"/>
                <w:szCs w:val="20"/>
              </w:rPr>
              <w:t>评价属性</w:t>
            </w:r>
          </w:p>
        </w:tc>
        <w:tc>
          <w:tcPr>
            <w:tcW w:w="671" w:type="dxa"/>
            <w:vMerge w:val="restart"/>
            <w:shd w:val="clear" w:color="auto" w:fill="auto"/>
            <w:vAlign w:val="center"/>
          </w:tcPr>
          <w:p>
            <w:pPr>
              <w:jc w:val="center"/>
              <w:rPr>
                <w:b/>
                <w:bCs/>
                <w:sz w:val="20"/>
                <w:szCs w:val="20"/>
              </w:rPr>
            </w:pPr>
            <w:r>
              <w:rPr>
                <w:rFonts w:hint="eastAsia"/>
                <w:b/>
                <w:bCs/>
                <w:sz w:val="20"/>
                <w:szCs w:val="20"/>
              </w:rPr>
              <w:t>数据来源</w:t>
            </w:r>
          </w:p>
        </w:tc>
        <w:tc>
          <w:tcPr>
            <w:tcW w:w="1948" w:type="dxa"/>
            <w:vMerge w:val="restart"/>
            <w:shd w:val="clear" w:color="auto" w:fill="auto"/>
            <w:vAlign w:val="center"/>
          </w:tcPr>
          <w:p>
            <w:pPr>
              <w:jc w:val="center"/>
              <w:rPr>
                <w:b/>
                <w:bCs/>
                <w:sz w:val="20"/>
                <w:szCs w:val="20"/>
              </w:rPr>
            </w:pPr>
            <w:r>
              <w:rPr>
                <w:rFonts w:hint="eastAsia"/>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trPr>
        <w:tc>
          <w:tcPr>
            <w:tcW w:w="550" w:type="dxa"/>
            <w:shd w:val="clear" w:color="auto" w:fill="auto"/>
            <w:vAlign w:val="center"/>
          </w:tcPr>
          <w:p>
            <w:pPr>
              <w:jc w:val="center"/>
              <w:rPr>
                <w:b/>
                <w:bCs/>
                <w:sz w:val="20"/>
                <w:szCs w:val="20"/>
              </w:rPr>
            </w:pPr>
            <w:r>
              <w:rPr>
                <w:rFonts w:hint="eastAsia"/>
                <w:b/>
                <w:bCs/>
                <w:sz w:val="20"/>
                <w:szCs w:val="20"/>
              </w:rPr>
              <w:t>一级指标</w:t>
            </w:r>
          </w:p>
        </w:tc>
        <w:tc>
          <w:tcPr>
            <w:tcW w:w="481" w:type="dxa"/>
            <w:shd w:val="clear" w:color="auto" w:fill="auto"/>
            <w:vAlign w:val="center"/>
          </w:tcPr>
          <w:p>
            <w:pPr>
              <w:jc w:val="center"/>
              <w:rPr>
                <w:b/>
                <w:bCs/>
                <w:sz w:val="20"/>
                <w:szCs w:val="20"/>
              </w:rPr>
            </w:pPr>
            <w:r>
              <w:rPr>
                <w:rFonts w:hint="eastAsia"/>
                <w:b/>
                <w:bCs/>
                <w:sz w:val="20"/>
                <w:szCs w:val="20"/>
              </w:rPr>
              <w:t>二级指标</w:t>
            </w:r>
          </w:p>
        </w:tc>
        <w:tc>
          <w:tcPr>
            <w:tcW w:w="511" w:type="dxa"/>
            <w:shd w:val="clear" w:color="auto" w:fill="auto"/>
            <w:vAlign w:val="center"/>
          </w:tcPr>
          <w:p>
            <w:pPr>
              <w:jc w:val="center"/>
              <w:rPr>
                <w:b/>
                <w:bCs/>
                <w:sz w:val="20"/>
                <w:szCs w:val="20"/>
              </w:rPr>
            </w:pPr>
            <w:r>
              <w:rPr>
                <w:rFonts w:hint="eastAsia"/>
                <w:b/>
                <w:bCs/>
                <w:sz w:val="20"/>
                <w:szCs w:val="20"/>
              </w:rPr>
              <w:t>三级指标</w:t>
            </w:r>
          </w:p>
        </w:tc>
        <w:tc>
          <w:tcPr>
            <w:tcW w:w="394" w:type="dxa"/>
            <w:vMerge w:val="continue"/>
            <w:vAlign w:val="center"/>
          </w:tcPr>
          <w:p>
            <w:pPr>
              <w:rPr>
                <w:b/>
                <w:bCs/>
                <w:sz w:val="20"/>
                <w:szCs w:val="20"/>
              </w:rPr>
            </w:pPr>
          </w:p>
        </w:tc>
        <w:tc>
          <w:tcPr>
            <w:tcW w:w="393" w:type="dxa"/>
            <w:vMerge w:val="continue"/>
            <w:vAlign w:val="center"/>
          </w:tcPr>
          <w:p>
            <w:pPr>
              <w:rPr>
                <w:b/>
                <w:bCs/>
                <w:sz w:val="20"/>
                <w:szCs w:val="20"/>
              </w:rPr>
            </w:pPr>
          </w:p>
        </w:tc>
        <w:tc>
          <w:tcPr>
            <w:tcW w:w="1215" w:type="dxa"/>
            <w:vMerge w:val="continue"/>
            <w:vAlign w:val="center"/>
          </w:tcPr>
          <w:p>
            <w:pPr>
              <w:rPr>
                <w:b/>
                <w:bCs/>
                <w:sz w:val="20"/>
                <w:szCs w:val="20"/>
              </w:rPr>
            </w:pPr>
          </w:p>
        </w:tc>
        <w:tc>
          <w:tcPr>
            <w:tcW w:w="5843" w:type="dxa"/>
            <w:vMerge w:val="continue"/>
            <w:vAlign w:val="center"/>
          </w:tcPr>
          <w:p>
            <w:pPr>
              <w:rPr>
                <w:b/>
                <w:bCs/>
                <w:sz w:val="20"/>
                <w:szCs w:val="20"/>
              </w:rPr>
            </w:pPr>
          </w:p>
        </w:tc>
        <w:tc>
          <w:tcPr>
            <w:tcW w:w="472" w:type="dxa"/>
            <w:shd w:val="clear" w:color="auto" w:fill="auto"/>
            <w:vAlign w:val="center"/>
          </w:tcPr>
          <w:p>
            <w:pPr>
              <w:jc w:val="center"/>
              <w:rPr>
                <w:b/>
                <w:bCs/>
                <w:sz w:val="20"/>
                <w:szCs w:val="20"/>
              </w:rPr>
            </w:pPr>
            <w:r>
              <w:rPr>
                <w:rFonts w:hint="eastAsia"/>
                <w:b/>
                <w:bCs/>
                <w:sz w:val="20"/>
                <w:szCs w:val="20"/>
              </w:rPr>
              <w:t>整体评价</w:t>
            </w:r>
          </w:p>
        </w:tc>
        <w:tc>
          <w:tcPr>
            <w:tcW w:w="588" w:type="dxa"/>
            <w:shd w:val="clear" w:color="auto" w:fill="auto"/>
            <w:vAlign w:val="center"/>
          </w:tcPr>
          <w:p>
            <w:pPr>
              <w:jc w:val="center"/>
              <w:rPr>
                <w:b/>
                <w:bCs/>
                <w:sz w:val="20"/>
                <w:szCs w:val="20"/>
              </w:rPr>
            </w:pPr>
            <w:r>
              <w:rPr>
                <w:rFonts w:hint="eastAsia"/>
                <w:b/>
                <w:bCs/>
                <w:sz w:val="20"/>
                <w:szCs w:val="20"/>
              </w:rPr>
              <w:t>样本评价</w:t>
            </w:r>
          </w:p>
        </w:tc>
        <w:tc>
          <w:tcPr>
            <w:tcW w:w="604" w:type="dxa"/>
            <w:shd w:val="clear" w:color="auto" w:fill="auto"/>
            <w:vAlign w:val="center"/>
          </w:tcPr>
          <w:p>
            <w:pPr>
              <w:jc w:val="center"/>
              <w:rPr>
                <w:b/>
                <w:bCs/>
                <w:sz w:val="20"/>
                <w:szCs w:val="20"/>
              </w:rPr>
            </w:pPr>
            <w:r>
              <w:rPr>
                <w:rFonts w:hint="eastAsia"/>
                <w:b/>
                <w:bCs/>
                <w:sz w:val="20"/>
                <w:szCs w:val="20"/>
              </w:rPr>
              <w:t>定性评价</w:t>
            </w:r>
          </w:p>
        </w:tc>
        <w:tc>
          <w:tcPr>
            <w:tcW w:w="505" w:type="dxa"/>
            <w:shd w:val="clear" w:color="auto" w:fill="auto"/>
            <w:vAlign w:val="center"/>
          </w:tcPr>
          <w:p>
            <w:pPr>
              <w:jc w:val="center"/>
              <w:rPr>
                <w:b/>
                <w:bCs/>
                <w:sz w:val="20"/>
                <w:szCs w:val="20"/>
              </w:rPr>
            </w:pPr>
            <w:r>
              <w:rPr>
                <w:rFonts w:hint="eastAsia"/>
                <w:b/>
                <w:bCs/>
                <w:sz w:val="20"/>
                <w:szCs w:val="20"/>
              </w:rPr>
              <w:t>定量评价</w:t>
            </w:r>
          </w:p>
        </w:tc>
        <w:tc>
          <w:tcPr>
            <w:tcW w:w="671" w:type="dxa"/>
            <w:vMerge w:val="continue"/>
            <w:vAlign w:val="center"/>
          </w:tcPr>
          <w:p>
            <w:pPr>
              <w:rPr>
                <w:b/>
                <w:bCs/>
                <w:sz w:val="20"/>
                <w:szCs w:val="20"/>
              </w:rPr>
            </w:pPr>
          </w:p>
        </w:tc>
        <w:tc>
          <w:tcPr>
            <w:tcW w:w="1948" w:type="dxa"/>
            <w:vMerge w:val="continue"/>
            <w:vAlign w:val="center"/>
          </w:tcPr>
          <w:p>
            <w:pP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5" w:hRule="atLeast"/>
        </w:trPr>
        <w:tc>
          <w:tcPr>
            <w:tcW w:w="550" w:type="dxa"/>
            <w:vMerge w:val="restart"/>
            <w:shd w:val="clear" w:color="auto" w:fill="auto"/>
            <w:vAlign w:val="center"/>
          </w:tcPr>
          <w:p>
            <w:pPr>
              <w:jc w:val="center"/>
              <w:rPr>
                <w:sz w:val="20"/>
                <w:szCs w:val="20"/>
              </w:rPr>
            </w:pPr>
            <w:r>
              <w:rPr>
                <w:rFonts w:hint="eastAsia"/>
                <w:sz w:val="20"/>
                <w:szCs w:val="20"/>
              </w:rPr>
              <w:t>部门预算管理（80分）</w:t>
            </w:r>
          </w:p>
        </w:tc>
        <w:tc>
          <w:tcPr>
            <w:tcW w:w="481" w:type="dxa"/>
            <w:vMerge w:val="restart"/>
            <w:shd w:val="clear" w:color="auto" w:fill="auto"/>
            <w:vAlign w:val="center"/>
          </w:tcPr>
          <w:p>
            <w:pPr>
              <w:jc w:val="center"/>
              <w:rPr>
                <w:sz w:val="20"/>
                <w:szCs w:val="20"/>
              </w:rPr>
            </w:pPr>
            <w:r>
              <w:rPr>
                <w:rFonts w:hint="eastAsia"/>
                <w:sz w:val="20"/>
                <w:szCs w:val="20"/>
              </w:rPr>
              <w:t>预算编制（30分）</w:t>
            </w:r>
          </w:p>
        </w:tc>
        <w:tc>
          <w:tcPr>
            <w:tcW w:w="511" w:type="dxa"/>
            <w:shd w:val="clear" w:color="auto" w:fill="auto"/>
            <w:vAlign w:val="center"/>
          </w:tcPr>
          <w:p>
            <w:pPr>
              <w:jc w:val="center"/>
              <w:rPr>
                <w:sz w:val="20"/>
                <w:szCs w:val="20"/>
              </w:rPr>
            </w:pPr>
            <w:r>
              <w:rPr>
                <w:rFonts w:hint="eastAsia"/>
                <w:sz w:val="20"/>
                <w:szCs w:val="20"/>
              </w:rPr>
              <w:t>目标制定</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评价部门绩效目标是否要素完整、细化量化。</w:t>
            </w:r>
          </w:p>
        </w:tc>
        <w:tc>
          <w:tcPr>
            <w:tcW w:w="5843" w:type="dxa"/>
            <w:shd w:val="clear" w:color="auto" w:fill="auto"/>
            <w:vAlign w:val="center"/>
          </w:tcPr>
          <w:p>
            <w:pPr>
              <w:rPr>
                <w:sz w:val="20"/>
                <w:szCs w:val="20"/>
              </w:rPr>
            </w:pPr>
            <w:r>
              <w:rPr>
                <w:rFonts w:hint="eastAsia"/>
                <w:sz w:val="20"/>
                <w:szCs w:val="20"/>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jc w:val="center"/>
              <w:rPr>
                <w:sz w:val="20"/>
                <w:szCs w:val="20"/>
              </w:rPr>
            </w:pPr>
            <w:r>
              <w:rPr>
                <w:rFonts w:hint="eastAsia"/>
                <w:sz w:val="20"/>
                <w:szCs w:val="20"/>
              </w:rPr>
              <w:t>√</w:t>
            </w:r>
          </w:p>
        </w:tc>
        <w:tc>
          <w:tcPr>
            <w:tcW w:w="604" w:type="dxa"/>
            <w:shd w:val="clear" w:color="auto" w:fill="auto"/>
            <w:vAlign w:val="center"/>
          </w:tcPr>
          <w:p>
            <w:pPr>
              <w:jc w:val="center"/>
              <w:rPr>
                <w:sz w:val="20"/>
                <w:szCs w:val="20"/>
              </w:rPr>
            </w:pPr>
            <w:r>
              <w:rPr>
                <w:rFonts w:hint="eastAsia"/>
                <w:sz w:val="20"/>
                <w:szCs w:val="20"/>
              </w:rPr>
              <w:t>√</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评价组现场评价</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目标实现</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评价部门绩效目标实际实现程度与预期目标的偏离度。</w:t>
            </w:r>
          </w:p>
        </w:tc>
        <w:tc>
          <w:tcPr>
            <w:tcW w:w="5843" w:type="dxa"/>
            <w:shd w:val="clear" w:color="auto" w:fill="auto"/>
            <w:vAlign w:val="center"/>
          </w:tcPr>
          <w:p>
            <w:pPr>
              <w:rPr>
                <w:color w:val="000000"/>
                <w:sz w:val="20"/>
                <w:szCs w:val="20"/>
              </w:rPr>
            </w:pPr>
            <w:r>
              <w:rPr>
                <w:rFonts w:hint="eastAsia"/>
                <w:color w:val="000000"/>
                <w:sz w:val="20"/>
                <w:szCs w:val="20"/>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472" w:type="dxa"/>
            <w:shd w:val="clear" w:color="auto" w:fill="auto"/>
            <w:vAlign w:val="center"/>
          </w:tcPr>
          <w:p>
            <w:pPr>
              <w:jc w:val="center"/>
              <w:rPr>
                <w:sz w:val="20"/>
                <w:szCs w:val="20"/>
              </w:rPr>
            </w:pPr>
            <w:r>
              <w:rPr>
                <w:rFonts w:hint="eastAsia"/>
                <w:sz w:val="20"/>
                <w:szCs w:val="20"/>
              </w:rPr>
              <w:t>　</w:t>
            </w:r>
          </w:p>
        </w:tc>
        <w:tc>
          <w:tcPr>
            <w:tcW w:w="588" w:type="dxa"/>
            <w:shd w:val="clear" w:color="auto" w:fill="auto"/>
            <w:vAlign w:val="center"/>
          </w:tcPr>
          <w:p>
            <w:pPr>
              <w:jc w:val="center"/>
              <w:rPr>
                <w:sz w:val="20"/>
                <w:szCs w:val="20"/>
              </w:rPr>
            </w:pPr>
            <w:r>
              <w:rPr>
                <w:rFonts w:hint="eastAsia"/>
                <w:sz w:val="20"/>
                <w:szCs w:val="20"/>
              </w:rPr>
              <w:t>√</w:t>
            </w:r>
          </w:p>
        </w:tc>
        <w:tc>
          <w:tcPr>
            <w:tcW w:w="604" w:type="dxa"/>
            <w:shd w:val="clear" w:color="auto" w:fill="auto"/>
            <w:vAlign w:val="center"/>
          </w:tcPr>
          <w:p>
            <w:pPr>
              <w:jc w:val="cente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评价组现场评价</w:t>
            </w:r>
          </w:p>
        </w:tc>
        <w:tc>
          <w:tcPr>
            <w:tcW w:w="1948" w:type="dxa"/>
            <w:shd w:val="clear" w:color="auto" w:fill="auto"/>
            <w:vAlign w:val="center"/>
          </w:tcPr>
          <w:p>
            <w:pPr>
              <w:rPr>
                <w:sz w:val="20"/>
                <w:szCs w:val="20"/>
              </w:rPr>
            </w:pPr>
            <w:r>
              <w:rPr>
                <w:rFonts w:hint="eastAsia"/>
                <w:sz w:val="20"/>
                <w:szCs w:val="20"/>
              </w:rPr>
              <w:t>评价组评价范围为部门机关及至少2个下属单位的所有纳入绩效目标管理的部门预算项目，部门自评范围为部门所有纳入绩效目标管理的部门预算项目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编制准确</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0</w:t>
            </w:r>
          </w:p>
        </w:tc>
        <w:tc>
          <w:tcPr>
            <w:tcW w:w="1215" w:type="dxa"/>
            <w:shd w:val="clear" w:color="auto" w:fill="auto"/>
            <w:vAlign w:val="center"/>
          </w:tcPr>
          <w:p>
            <w:pPr>
              <w:rPr>
                <w:sz w:val="20"/>
                <w:szCs w:val="20"/>
              </w:rPr>
            </w:pPr>
            <w:r>
              <w:rPr>
                <w:rFonts w:hint="eastAsia"/>
                <w:sz w:val="20"/>
                <w:szCs w:val="20"/>
              </w:rPr>
              <w:t>评价部门年初预算编制是否科学准确。</w:t>
            </w:r>
          </w:p>
        </w:tc>
        <w:tc>
          <w:tcPr>
            <w:tcW w:w="5843" w:type="dxa"/>
            <w:shd w:val="clear" w:color="auto" w:fill="auto"/>
            <w:vAlign w:val="center"/>
          </w:tcPr>
          <w:p>
            <w:pPr>
              <w:rPr>
                <w:sz w:val="20"/>
                <w:szCs w:val="20"/>
              </w:rPr>
            </w:pPr>
            <w:r>
              <w:rPr>
                <w:rFonts w:hint="eastAsia"/>
                <w:sz w:val="20"/>
                <w:szCs w:val="20"/>
              </w:rPr>
              <w:t>指标得分=（1-（10×部门全年预算调剂金额/年初部门预算数））*指标分值。其中：若部门全年预算调剂金额/年初部门预算数&gt;0.1，此项得0分。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9" w:hRule="atLeast"/>
        </w:trPr>
        <w:tc>
          <w:tcPr>
            <w:tcW w:w="550" w:type="dxa"/>
            <w:vMerge w:val="continue"/>
            <w:vAlign w:val="center"/>
          </w:tcPr>
          <w:p>
            <w:pPr>
              <w:rPr>
                <w:sz w:val="20"/>
                <w:szCs w:val="20"/>
              </w:rPr>
            </w:pPr>
          </w:p>
        </w:tc>
        <w:tc>
          <w:tcPr>
            <w:tcW w:w="481" w:type="dxa"/>
            <w:vMerge w:val="restart"/>
            <w:shd w:val="clear" w:color="auto" w:fill="auto"/>
            <w:vAlign w:val="center"/>
          </w:tcPr>
          <w:p>
            <w:pPr>
              <w:jc w:val="center"/>
              <w:rPr>
                <w:sz w:val="20"/>
                <w:szCs w:val="20"/>
              </w:rPr>
            </w:pPr>
            <w:r>
              <w:rPr>
                <w:rFonts w:hint="eastAsia"/>
                <w:sz w:val="20"/>
                <w:szCs w:val="20"/>
              </w:rPr>
              <w:t xml:space="preserve">                                                                             预算执行（30分）</w:t>
            </w:r>
          </w:p>
        </w:tc>
        <w:tc>
          <w:tcPr>
            <w:tcW w:w="511" w:type="dxa"/>
            <w:shd w:val="clear" w:color="auto" w:fill="auto"/>
            <w:vAlign w:val="center"/>
          </w:tcPr>
          <w:p>
            <w:pPr>
              <w:jc w:val="center"/>
              <w:rPr>
                <w:sz w:val="20"/>
                <w:szCs w:val="20"/>
              </w:rPr>
            </w:pPr>
            <w:r>
              <w:rPr>
                <w:rFonts w:hint="eastAsia"/>
                <w:sz w:val="20"/>
                <w:szCs w:val="20"/>
              </w:rPr>
              <w:t>支出控制</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部门公用经费及非定额公用支出控制情况。</w:t>
            </w:r>
          </w:p>
        </w:tc>
        <w:tc>
          <w:tcPr>
            <w:tcW w:w="5843" w:type="dxa"/>
            <w:shd w:val="clear" w:color="auto" w:fill="auto"/>
            <w:vAlign w:val="center"/>
          </w:tcPr>
          <w:p>
            <w:pPr>
              <w:rPr>
                <w:sz w:val="20"/>
                <w:szCs w:val="20"/>
              </w:rPr>
            </w:pPr>
            <w:r>
              <w:rPr>
                <w:rFonts w:hint="eastAsia"/>
                <w:sz w:val="20"/>
                <w:szCs w:val="20"/>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动态调整</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评价部门开展绩效运行监控后，将绩效监控结果应用到预算调整的情况。</w:t>
            </w:r>
          </w:p>
        </w:tc>
        <w:tc>
          <w:tcPr>
            <w:tcW w:w="5843" w:type="dxa"/>
            <w:shd w:val="clear" w:color="auto" w:fill="auto"/>
            <w:vAlign w:val="center"/>
          </w:tcPr>
          <w:p>
            <w:pPr>
              <w:rPr>
                <w:sz w:val="20"/>
                <w:szCs w:val="20"/>
              </w:rPr>
            </w:pPr>
            <w:r>
              <w:rPr>
                <w:rFonts w:hint="eastAsia"/>
                <w:sz w:val="20"/>
                <w:szCs w:val="20"/>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0"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执行进度</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9</w:t>
            </w:r>
          </w:p>
        </w:tc>
        <w:tc>
          <w:tcPr>
            <w:tcW w:w="1215" w:type="dxa"/>
            <w:shd w:val="clear" w:color="auto" w:fill="auto"/>
            <w:vAlign w:val="center"/>
          </w:tcPr>
          <w:p>
            <w:pPr>
              <w:rPr>
                <w:sz w:val="20"/>
                <w:szCs w:val="20"/>
              </w:rPr>
            </w:pPr>
            <w:r>
              <w:rPr>
                <w:rFonts w:hint="eastAsia"/>
                <w:sz w:val="20"/>
                <w:szCs w:val="20"/>
              </w:rPr>
              <w:t>评价部门在6、9、11月的预算执行情况。</w:t>
            </w:r>
          </w:p>
        </w:tc>
        <w:tc>
          <w:tcPr>
            <w:tcW w:w="5843" w:type="dxa"/>
            <w:shd w:val="clear" w:color="auto" w:fill="auto"/>
            <w:vAlign w:val="center"/>
          </w:tcPr>
          <w:p>
            <w:pPr>
              <w:rPr>
                <w:sz w:val="20"/>
                <w:szCs w:val="20"/>
              </w:rPr>
            </w:pPr>
            <w:r>
              <w:rPr>
                <w:rFonts w:hint="eastAsia"/>
                <w:sz w:val="20"/>
                <w:szCs w:val="20"/>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550" w:type="dxa"/>
            <w:vMerge w:val="continue"/>
            <w:vAlign w:val="center"/>
          </w:tcPr>
          <w:p>
            <w:pPr>
              <w:rPr>
                <w:sz w:val="20"/>
                <w:szCs w:val="20"/>
              </w:rPr>
            </w:pPr>
          </w:p>
        </w:tc>
        <w:tc>
          <w:tcPr>
            <w:tcW w:w="481" w:type="dxa"/>
            <w:vMerge w:val="restart"/>
            <w:shd w:val="clear" w:color="auto" w:fill="auto"/>
            <w:vAlign w:val="center"/>
          </w:tcPr>
          <w:p>
            <w:pPr>
              <w:jc w:val="center"/>
              <w:rPr>
                <w:sz w:val="20"/>
                <w:szCs w:val="20"/>
              </w:rPr>
            </w:pPr>
            <w:r>
              <w:rPr>
                <w:rFonts w:hint="eastAsia"/>
                <w:sz w:val="20"/>
                <w:szCs w:val="20"/>
              </w:rPr>
              <w:t>完成结果（20分）</w:t>
            </w:r>
          </w:p>
        </w:tc>
        <w:tc>
          <w:tcPr>
            <w:tcW w:w="511" w:type="dxa"/>
            <w:shd w:val="clear" w:color="auto" w:fill="auto"/>
            <w:vAlign w:val="center"/>
          </w:tcPr>
          <w:p>
            <w:pPr>
              <w:jc w:val="center"/>
              <w:rPr>
                <w:sz w:val="20"/>
                <w:szCs w:val="20"/>
              </w:rPr>
            </w:pPr>
            <w:r>
              <w:rPr>
                <w:rFonts w:hint="eastAsia"/>
                <w:sz w:val="20"/>
                <w:szCs w:val="20"/>
              </w:rPr>
              <w:t>预算完成</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评价部门预算项目年终预算执行情况。</w:t>
            </w:r>
          </w:p>
        </w:tc>
        <w:tc>
          <w:tcPr>
            <w:tcW w:w="5843" w:type="dxa"/>
            <w:shd w:val="clear" w:color="auto" w:fill="auto"/>
            <w:vAlign w:val="center"/>
          </w:tcPr>
          <w:p>
            <w:pPr>
              <w:rPr>
                <w:sz w:val="20"/>
                <w:szCs w:val="20"/>
              </w:rPr>
            </w:pPr>
            <w:r>
              <w:rPr>
                <w:rFonts w:hint="eastAsia"/>
                <w:sz w:val="20"/>
                <w:szCs w:val="20"/>
              </w:rPr>
              <w:t>部门预算项目12月预算执行进度达到100%的，得10分，未达100%的，按照实际进度量化计算得分。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jc w:val="cente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违规记录</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根据审计监督、财政检查结果反映部门上一年度部门预算管理是否合规。</w:t>
            </w:r>
          </w:p>
        </w:tc>
        <w:tc>
          <w:tcPr>
            <w:tcW w:w="5843" w:type="dxa"/>
            <w:shd w:val="clear" w:color="auto" w:fill="auto"/>
            <w:vAlign w:val="center"/>
          </w:tcPr>
          <w:p>
            <w:pPr>
              <w:rPr>
                <w:sz w:val="20"/>
                <w:szCs w:val="20"/>
              </w:rPr>
            </w:pPr>
            <w:r>
              <w:rPr>
                <w:rFonts w:hint="eastAsia"/>
                <w:sz w:val="20"/>
                <w:szCs w:val="20"/>
              </w:rPr>
              <w:t>依据评价年度审计监督、财政检查结果，出现部门预算管理方面违纪违规问题的，每个问题扣0.5分，直至扣完。</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财政厅提供</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550" w:type="dxa"/>
            <w:vMerge w:val="restart"/>
            <w:shd w:val="clear" w:color="auto" w:fill="auto"/>
            <w:vAlign w:val="center"/>
          </w:tcPr>
          <w:p>
            <w:pPr>
              <w:jc w:val="center"/>
              <w:rPr>
                <w:sz w:val="20"/>
                <w:szCs w:val="20"/>
              </w:rPr>
            </w:pPr>
            <w:r>
              <w:rPr>
                <w:rFonts w:hint="eastAsia"/>
                <w:sz w:val="20"/>
                <w:szCs w:val="20"/>
              </w:rPr>
              <w:t>绩效结果应用（10分）</w:t>
            </w:r>
          </w:p>
        </w:tc>
        <w:tc>
          <w:tcPr>
            <w:tcW w:w="481" w:type="dxa"/>
            <w:shd w:val="clear" w:color="auto" w:fill="auto"/>
            <w:vAlign w:val="center"/>
          </w:tcPr>
          <w:p>
            <w:pPr>
              <w:jc w:val="center"/>
              <w:rPr>
                <w:sz w:val="20"/>
                <w:szCs w:val="20"/>
              </w:rPr>
            </w:pPr>
            <w:r>
              <w:rPr>
                <w:rFonts w:hint="eastAsia"/>
                <w:sz w:val="20"/>
                <w:szCs w:val="20"/>
              </w:rPr>
              <w:t>信息公开（2分)</w:t>
            </w:r>
          </w:p>
        </w:tc>
        <w:tc>
          <w:tcPr>
            <w:tcW w:w="511" w:type="dxa"/>
            <w:shd w:val="clear" w:color="auto" w:fill="auto"/>
            <w:vAlign w:val="center"/>
          </w:tcPr>
          <w:p>
            <w:pPr>
              <w:jc w:val="center"/>
              <w:rPr>
                <w:sz w:val="20"/>
                <w:szCs w:val="20"/>
              </w:rPr>
            </w:pPr>
            <w:r>
              <w:rPr>
                <w:rFonts w:hint="eastAsia"/>
                <w:sz w:val="20"/>
                <w:szCs w:val="20"/>
              </w:rPr>
              <w:t>自评公开</w:t>
            </w:r>
          </w:p>
        </w:tc>
        <w:tc>
          <w:tcPr>
            <w:tcW w:w="394" w:type="dxa"/>
            <w:shd w:val="clear" w:color="auto" w:fill="auto"/>
            <w:vAlign w:val="center"/>
          </w:tcPr>
          <w:p>
            <w:pPr>
              <w:jc w:val="center"/>
              <w:rPr>
                <w:sz w:val="20"/>
                <w:szCs w:val="20"/>
              </w:rPr>
            </w:pPr>
            <w:r>
              <w:rPr>
                <w:rFonts w:hint="eastAsia"/>
                <w:sz w:val="20"/>
                <w:szCs w:val="20"/>
              </w:rPr>
              <w:t>2</w:t>
            </w:r>
          </w:p>
        </w:tc>
        <w:tc>
          <w:tcPr>
            <w:tcW w:w="393" w:type="dxa"/>
            <w:shd w:val="clear" w:color="auto" w:fill="auto"/>
            <w:vAlign w:val="center"/>
          </w:tcPr>
          <w:p>
            <w:pPr>
              <w:jc w:val="center"/>
              <w:rPr>
                <w:sz w:val="20"/>
                <w:szCs w:val="20"/>
              </w:rPr>
            </w:pPr>
            <w:r>
              <w:rPr>
                <w:rFonts w:hint="eastAsia"/>
                <w:sz w:val="20"/>
                <w:szCs w:val="20"/>
              </w:rPr>
              <w:t>2</w:t>
            </w:r>
          </w:p>
        </w:tc>
        <w:tc>
          <w:tcPr>
            <w:tcW w:w="1215" w:type="dxa"/>
            <w:shd w:val="clear" w:color="auto" w:fill="auto"/>
            <w:vAlign w:val="center"/>
          </w:tcPr>
          <w:p>
            <w:pPr>
              <w:rPr>
                <w:sz w:val="20"/>
                <w:szCs w:val="20"/>
              </w:rPr>
            </w:pPr>
            <w:r>
              <w:rPr>
                <w:rFonts w:hint="eastAsia"/>
                <w:sz w:val="20"/>
                <w:szCs w:val="20"/>
              </w:rPr>
              <w:t>评价部门是否按要求将部门整体绩效自评情况和自行组织的评价情况向社会公开。</w:t>
            </w:r>
          </w:p>
        </w:tc>
        <w:tc>
          <w:tcPr>
            <w:tcW w:w="5843" w:type="dxa"/>
            <w:shd w:val="clear" w:color="auto" w:fill="auto"/>
            <w:vAlign w:val="center"/>
          </w:tcPr>
          <w:p>
            <w:pPr>
              <w:rPr>
                <w:sz w:val="20"/>
                <w:szCs w:val="20"/>
              </w:rPr>
            </w:pPr>
            <w:r>
              <w:rPr>
                <w:rFonts w:hint="eastAsia"/>
                <w:sz w:val="20"/>
                <w:szCs w:val="20"/>
              </w:rPr>
              <w:t>按要求将相关绩效信息随同决算公开的，得2分，否则不得分。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jc w:val="center"/>
              <w:rPr>
                <w:sz w:val="20"/>
                <w:szCs w:val="20"/>
              </w:rPr>
            </w:pPr>
            <w:r>
              <w:rPr>
                <w:rFonts w:hint="eastAsia"/>
                <w:sz w:val="20"/>
                <w:szCs w:val="20"/>
              </w:rPr>
              <w:t>√</w:t>
            </w:r>
          </w:p>
        </w:tc>
        <w:tc>
          <w:tcPr>
            <w:tcW w:w="505" w:type="dxa"/>
            <w:shd w:val="clear" w:color="auto" w:fill="auto"/>
            <w:vAlign w:val="center"/>
          </w:tcPr>
          <w:p>
            <w:pPr>
              <w:rPr>
                <w:sz w:val="20"/>
                <w:szCs w:val="20"/>
              </w:rPr>
            </w:pPr>
            <w:r>
              <w:rPr>
                <w:rFonts w:hint="eastAsia"/>
                <w:sz w:val="20"/>
                <w:szCs w:val="20"/>
              </w:rPr>
              <w:t>　</w:t>
            </w:r>
          </w:p>
        </w:tc>
        <w:tc>
          <w:tcPr>
            <w:tcW w:w="671" w:type="dxa"/>
            <w:shd w:val="clear" w:color="auto" w:fill="auto"/>
            <w:vAlign w:val="center"/>
          </w:tcPr>
          <w:p>
            <w:pPr>
              <w:rPr>
                <w:sz w:val="20"/>
                <w:szCs w:val="20"/>
              </w:rPr>
            </w:pPr>
            <w:r>
              <w:rPr>
                <w:rFonts w:hint="eastAsia"/>
                <w:sz w:val="20"/>
                <w:szCs w:val="20"/>
              </w:rPr>
              <w:t>　</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550" w:type="dxa"/>
            <w:vMerge w:val="continue"/>
            <w:vAlign w:val="center"/>
          </w:tcPr>
          <w:p>
            <w:pPr>
              <w:rPr>
                <w:sz w:val="20"/>
                <w:szCs w:val="20"/>
              </w:rPr>
            </w:pPr>
          </w:p>
        </w:tc>
        <w:tc>
          <w:tcPr>
            <w:tcW w:w="481" w:type="dxa"/>
            <w:vMerge w:val="restart"/>
            <w:shd w:val="clear" w:color="auto" w:fill="auto"/>
            <w:vAlign w:val="center"/>
          </w:tcPr>
          <w:p>
            <w:pPr>
              <w:jc w:val="center"/>
              <w:rPr>
                <w:sz w:val="20"/>
                <w:szCs w:val="20"/>
              </w:rPr>
            </w:pPr>
            <w:r>
              <w:rPr>
                <w:rFonts w:hint="eastAsia"/>
                <w:sz w:val="20"/>
                <w:szCs w:val="20"/>
              </w:rPr>
              <w:t>整改反馈（8分）</w:t>
            </w:r>
          </w:p>
        </w:tc>
        <w:tc>
          <w:tcPr>
            <w:tcW w:w="511" w:type="dxa"/>
            <w:shd w:val="clear" w:color="auto" w:fill="auto"/>
            <w:vAlign w:val="center"/>
          </w:tcPr>
          <w:p>
            <w:pPr>
              <w:jc w:val="center"/>
              <w:rPr>
                <w:sz w:val="20"/>
                <w:szCs w:val="20"/>
              </w:rPr>
            </w:pPr>
            <w:r>
              <w:rPr>
                <w:rFonts w:hint="eastAsia"/>
                <w:sz w:val="20"/>
                <w:szCs w:val="20"/>
              </w:rPr>
              <w:t>结果整改</w:t>
            </w:r>
          </w:p>
        </w:tc>
        <w:tc>
          <w:tcPr>
            <w:tcW w:w="394" w:type="dxa"/>
            <w:shd w:val="clear" w:color="auto" w:fill="auto"/>
            <w:vAlign w:val="center"/>
          </w:tcPr>
          <w:p>
            <w:pPr>
              <w:jc w:val="center"/>
              <w:rPr>
                <w:sz w:val="20"/>
                <w:szCs w:val="20"/>
              </w:rPr>
            </w:pPr>
            <w:r>
              <w:rPr>
                <w:rFonts w:hint="eastAsia"/>
                <w:sz w:val="20"/>
                <w:szCs w:val="20"/>
              </w:rPr>
              <w:t>4</w:t>
            </w:r>
          </w:p>
        </w:tc>
        <w:tc>
          <w:tcPr>
            <w:tcW w:w="393" w:type="dxa"/>
            <w:shd w:val="clear" w:color="auto" w:fill="auto"/>
            <w:vAlign w:val="center"/>
          </w:tcPr>
          <w:p>
            <w:pPr>
              <w:jc w:val="center"/>
              <w:rPr>
                <w:sz w:val="20"/>
                <w:szCs w:val="20"/>
              </w:rPr>
            </w:pPr>
            <w:r>
              <w:rPr>
                <w:rFonts w:hint="eastAsia"/>
                <w:sz w:val="20"/>
                <w:szCs w:val="20"/>
              </w:rPr>
              <w:t>4</w:t>
            </w:r>
          </w:p>
        </w:tc>
        <w:tc>
          <w:tcPr>
            <w:tcW w:w="1215" w:type="dxa"/>
            <w:shd w:val="clear" w:color="auto" w:fill="auto"/>
            <w:vAlign w:val="center"/>
          </w:tcPr>
          <w:p>
            <w:pPr>
              <w:rPr>
                <w:sz w:val="20"/>
                <w:szCs w:val="20"/>
              </w:rPr>
            </w:pPr>
            <w:r>
              <w:rPr>
                <w:rFonts w:hint="eastAsia"/>
                <w:sz w:val="20"/>
                <w:szCs w:val="20"/>
              </w:rPr>
              <w:t>评价部门根据绩效管理结果整改问题、完善政策、改进管理的情况。</w:t>
            </w:r>
          </w:p>
        </w:tc>
        <w:tc>
          <w:tcPr>
            <w:tcW w:w="5843" w:type="dxa"/>
            <w:shd w:val="clear" w:color="auto" w:fill="auto"/>
            <w:vAlign w:val="center"/>
          </w:tcPr>
          <w:p>
            <w:pPr>
              <w:rPr>
                <w:sz w:val="20"/>
                <w:szCs w:val="20"/>
              </w:rPr>
            </w:pPr>
            <w:r>
              <w:rPr>
                <w:rFonts w:hint="eastAsia"/>
                <w:sz w:val="20"/>
                <w:szCs w:val="20"/>
              </w:rPr>
              <w:t>针对绩效管理过程中（包括绩效目标核查、绩效监控核查和重点绩效评价）提出的问题进行整改，将绩效管理结果应用于完善政策、改进管理、预算挂钩等的，得4分。否则，酌情扣分。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jc w:val="center"/>
              <w:rPr>
                <w:sz w:val="20"/>
                <w:szCs w:val="20"/>
              </w:rPr>
            </w:pPr>
            <w:r>
              <w:rPr>
                <w:rFonts w:hint="eastAsia"/>
                <w:sz w:val="20"/>
                <w:szCs w:val="20"/>
              </w:rPr>
              <w:t>√</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　</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550" w:type="dxa"/>
            <w:vMerge w:val="continue"/>
            <w:vAlign w:val="center"/>
          </w:tcPr>
          <w:p>
            <w:pPr>
              <w:rPr>
                <w:sz w:val="20"/>
                <w:szCs w:val="20"/>
              </w:rPr>
            </w:pPr>
          </w:p>
        </w:tc>
        <w:tc>
          <w:tcPr>
            <w:tcW w:w="481" w:type="dxa"/>
            <w:vMerge w:val="continue"/>
            <w:vAlign w:val="center"/>
          </w:tcPr>
          <w:p>
            <w:pPr>
              <w:rPr>
                <w:sz w:val="20"/>
                <w:szCs w:val="20"/>
              </w:rPr>
            </w:pPr>
          </w:p>
        </w:tc>
        <w:tc>
          <w:tcPr>
            <w:tcW w:w="511" w:type="dxa"/>
            <w:shd w:val="clear" w:color="auto" w:fill="auto"/>
            <w:vAlign w:val="center"/>
          </w:tcPr>
          <w:p>
            <w:pPr>
              <w:jc w:val="center"/>
              <w:rPr>
                <w:sz w:val="20"/>
                <w:szCs w:val="20"/>
              </w:rPr>
            </w:pPr>
            <w:r>
              <w:rPr>
                <w:rFonts w:hint="eastAsia"/>
                <w:sz w:val="20"/>
                <w:szCs w:val="20"/>
              </w:rPr>
              <w:t>应用反馈</w:t>
            </w:r>
          </w:p>
        </w:tc>
        <w:tc>
          <w:tcPr>
            <w:tcW w:w="394" w:type="dxa"/>
            <w:shd w:val="clear" w:color="auto" w:fill="auto"/>
            <w:vAlign w:val="center"/>
          </w:tcPr>
          <w:p>
            <w:pPr>
              <w:jc w:val="center"/>
              <w:rPr>
                <w:sz w:val="20"/>
                <w:szCs w:val="20"/>
              </w:rPr>
            </w:pPr>
            <w:r>
              <w:rPr>
                <w:rFonts w:hint="eastAsia"/>
                <w:sz w:val="20"/>
                <w:szCs w:val="20"/>
              </w:rPr>
              <w:t>4</w:t>
            </w:r>
          </w:p>
        </w:tc>
        <w:tc>
          <w:tcPr>
            <w:tcW w:w="393" w:type="dxa"/>
            <w:shd w:val="clear" w:color="auto" w:fill="auto"/>
            <w:vAlign w:val="center"/>
          </w:tcPr>
          <w:p>
            <w:pPr>
              <w:jc w:val="center"/>
              <w:rPr>
                <w:sz w:val="20"/>
                <w:szCs w:val="20"/>
              </w:rPr>
            </w:pPr>
            <w:r>
              <w:rPr>
                <w:rFonts w:hint="eastAsia"/>
                <w:sz w:val="20"/>
                <w:szCs w:val="20"/>
              </w:rPr>
              <w:t>4</w:t>
            </w:r>
          </w:p>
        </w:tc>
        <w:tc>
          <w:tcPr>
            <w:tcW w:w="1215" w:type="dxa"/>
            <w:shd w:val="clear" w:color="auto" w:fill="auto"/>
            <w:vAlign w:val="center"/>
          </w:tcPr>
          <w:p>
            <w:pPr>
              <w:rPr>
                <w:sz w:val="20"/>
                <w:szCs w:val="20"/>
              </w:rPr>
            </w:pPr>
            <w:r>
              <w:rPr>
                <w:rFonts w:hint="eastAsia"/>
                <w:sz w:val="20"/>
                <w:szCs w:val="20"/>
              </w:rPr>
              <w:t>评价部门按要求及时向财政部门反馈结果应用情况。</w:t>
            </w:r>
          </w:p>
        </w:tc>
        <w:tc>
          <w:tcPr>
            <w:tcW w:w="5843" w:type="dxa"/>
            <w:shd w:val="clear" w:color="auto" w:fill="auto"/>
            <w:vAlign w:val="center"/>
          </w:tcPr>
          <w:p>
            <w:pPr>
              <w:rPr>
                <w:sz w:val="20"/>
                <w:szCs w:val="20"/>
              </w:rPr>
            </w:pPr>
            <w:r>
              <w:rPr>
                <w:rFonts w:hint="eastAsia"/>
                <w:sz w:val="20"/>
                <w:szCs w:val="20"/>
              </w:rPr>
              <w:t>部门在规定时间内向财政部门反馈应用绩效结果报告的，得满分，否则不得分。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jc w:val="center"/>
              <w:rPr>
                <w:sz w:val="20"/>
                <w:szCs w:val="20"/>
              </w:rPr>
            </w:pPr>
            <w:r>
              <w:rPr>
                <w:rFonts w:hint="eastAsia"/>
                <w:sz w:val="20"/>
                <w:szCs w:val="20"/>
              </w:rPr>
              <w:t>√</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　</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 w:hRule="atLeast"/>
        </w:trPr>
        <w:tc>
          <w:tcPr>
            <w:tcW w:w="550" w:type="dxa"/>
            <w:shd w:val="clear" w:color="auto" w:fill="auto"/>
            <w:vAlign w:val="center"/>
          </w:tcPr>
          <w:p>
            <w:pPr>
              <w:rPr>
                <w:sz w:val="20"/>
                <w:szCs w:val="20"/>
              </w:rPr>
            </w:pPr>
            <w:r>
              <w:rPr>
                <w:rFonts w:hint="eastAsia"/>
                <w:sz w:val="20"/>
                <w:szCs w:val="20"/>
              </w:rPr>
              <w:t>自评质量（10分）</w:t>
            </w:r>
          </w:p>
        </w:tc>
        <w:tc>
          <w:tcPr>
            <w:tcW w:w="481" w:type="dxa"/>
            <w:shd w:val="clear" w:color="auto" w:fill="auto"/>
            <w:vAlign w:val="center"/>
          </w:tcPr>
          <w:p>
            <w:pPr>
              <w:jc w:val="center"/>
              <w:rPr>
                <w:sz w:val="20"/>
                <w:szCs w:val="20"/>
              </w:rPr>
            </w:pPr>
            <w:r>
              <w:rPr>
                <w:rFonts w:hint="eastAsia"/>
                <w:sz w:val="20"/>
                <w:szCs w:val="20"/>
              </w:rPr>
              <w:t>自评质量（10分）</w:t>
            </w:r>
          </w:p>
        </w:tc>
        <w:tc>
          <w:tcPr>
            <w:tcW w:w="511" w:type="dxa"/>
            <w:shd w:val="clear" w:color="auto" w:fill="auto"/>
            <w:vAlign w:val="center"/>
          </w:tcPr>
          <w:p>
            <w:pPr>
              <w:jc w:val="center"/>
              <w:rPr>
                <w:sz w:val="20"/>
                <w:szCs w:val="20"/>
              </w:rPr>
            </w:pPr>
            <w:r>
              <w:rPr>
                <w:rFonts w:hint="eastAsia"/>
                <w:sz w:val="20"/>
                <w:szCs w:val="20"/>
              </w:rPr>
              <w:t>自评准确</w:t>
            </w:r>
          </w:p>
        </w:tc>
        <w:tc>
          <w:tcPr>
            <w:tcW w:w="394" w:type="dxa"/>
            <w:shd w:val="clear" w:color="auto" w:fill="auto"/>
            <w:vAlign w:val="center"/>
          </w:tcPr>
          <w:p>
            <w:pPr>
              <w:jc w:val="center"/>
              <w:rPr>
                <w:sz w:val="20"/>
                <w:szCs w:val="20"/>
              </w:rPr>
            </w:pPr>
            <w:r>
              <w:rPr>
                <w:rFonts w:hint="eastAsia"/>
                <w:sz w:val="20"/>
                <w:szCs w:val="20"/>
              </w:rPr>
              <w:t>10</w:t>
            </w:r>
          </w:p>
        </w:tc>
        <w:tc>
          <w:tcPr>
            <w:tcW w:w="393" w:type="dxa"/>
            <w:shd w:val="clear" w:color="auto" w:fill="auto"/>
            <w:vAlign w:val="center"/>
          </w:tcPr>
          <w:p>
            <w:pPr>
              <w:jc w:val="center"/>
              <w:rPr>
                <w:sz w:val="20"/>
                <w:szCs w:val="20"/>
              </w:rPr>
            </w:pPr>
            <w:r>
              <w:rPr>
                <w:rFonts w:hint="eastAsia"/>
                <w:sz w:val="20"/>
                <w:szCs w:val="20"/>
              </w:rPr>
              <w:t>10</w:t>
            </w:r>
          </w:p>
        </w:tc>
        <w:tc>
          <w:tcPr>
            <w:tcW w:w="1215" w:type="dxa"/>
            <w:shd w:val="clear" w:color="auto" w:fill="auto"/>
            <w:vAlign w:val="center"/>
          </w:tcPr>
          <w:p>
            <w:pPr>
              <w:rPr>
                <w:sz w:val="20"/>
                <w:szCs w:val="20"/>
              </w:rPr>
            </w:pPr>
            <w:r>
              <w:rPr>
                <w:rFonts w:hint="eastAsia"/>
                <w:sz w:val="20"/>
                <w:szCs w:val="20"/>
              </w:rPr>
              <w:t>评价部门整体支出自评准确率。</w:t>
            </w:r>
          </w:p>
        </w:tc>
        <w:tc>
          <w:tcPr>
            <w:tcW w:w="5843" w:type="dxa"/>
            <w:shd w:val="clear" w:color="auto" w:fill="auto"/>
            <w:vAlign w:val="center"/>
          </w:tcPr>
          <w:p>
            <w:pPr>
              <w:rPr>
                <w:sz w:val="20"/>
                <w:szCs w:val="20"/>
              </w:rPr>
            </w:pPr>
            <w:r>
              <w:rPr>
                <w:rFonts w:hint="eastAsia"/>
                <w:sz w:val="20"/>
                <w:szCs w:val="20"/>
              </w:rPr>
              <w:t>部门整体支出自评得分与评价组抽查得分差异在5%以内的，不扣分；在5%-10%之间的，扣4分，在10%-20%的，扣8分，在20%以上的，扣10分。（部门在自评时，此项指标无需打分，部门自评满分为90分）</w:t>
            </w:r>
          </w:p>
        </w:tc>
        <w:tc>
          <w:tcPr>
            <w:tcW w:w="472" w:type="dxa"/>
            <w:shd w:val="clear" w:color="auto" w:fill="auto"/>
            <w:vAlign w:val="center"/>
          </w:tcPr>
          <w:p>
            <w:pPr>
              <w:jc w:val="center"/>
              <w:rPr>
                <w:sz w:val="20"/>
                <w:szCs w:val="20"/>
              </w:rPr>
            </w:pPr>
            <w:r>
              <w:rPr>
                <w:rFonts w:hint="eastAsia"/>
                <w:sz w:val="20"/>
                <w:szCs w:val="20"/>
              </w:rPr>
              <w:t>√</w:t>
            </w:r>
          </w:p>
        </w:tc>
        <w:tc>
          <w:tcPr>
            <w:tcW w:w="588" w:type="dxa"/>
            <w:shd w:val="clear" w:color="auto" w:fill="auto"/>
            <w:vAlign w:val="center"/>
          </w:tcPr>
          <w:p>
            <w:pPr>
              <w:jc w:val="center"/>
              <w:rPr>
                <w:sz w:val="20"/>
                <w:szCs w:val="20"/>
              </w:rPr>
            </w:pPr>
            <w:r>
              <w:rPr>
                <w:rFonts w:hint="eastAsia"/>
                <w:sz w:val="20"/>
                <w:szCs w:val="20"/>
              </w:rPr>
              <w:t>　</w:t>
            </w:r>
          </w:p>
        </w:tc>
        <w:tc>
          <w:tcPr>
            <w:tcW w:w="604" w:type="dxa"/>
            <w:shd w:val="clear" w:color="auto" w:fill="auto"/>
            <w:vAlign w:val="center"/>
          </w:tcPr>
          <w:p>
            <w:pPr>
              <w:jc w:val="center"/>
              <w:rPr>
                <w:sz w:val="20"/>
                <w:szCs w:val="20"/>
              </w:rPr>
            </w:pPr>
            <w:r>
              <w:rPr>
                <w:rFonts w:hint="eastAsia"/>
                <w:sz w:val="20"/>
                <w:szCs w:val="20"/>
              </w:rPr>
              <w:t>　</w:t>
            </w:r>
          </w:p>
        </w:tc>
        <w:tc>
          <w:tcPr>
            <w:tcW w:w="505" w:type="dxa"/>
            <w:shd w:val="clear" w:color="auto" w:fill="auto"/>
            <w:vAlign w:val="center"/>
          </w:tcPr>
          <w:p>
            <w:pPr>
              <w:jc w:val="center"/>
              <w:rPr>
                <w:sz w:val="20"/>
                <w:szCs w:val="20"/>
              </w:rPr>
            </w:pPr>
            <w:r>
              <w:rPr>
                <w:rFonts w:hint="eastAsia"/>
                <w:sz w:val="20"/>
                <w:szCs w:val="20"/>
              </w:rPr>
              <w:t>√</w:t>
            </w:r>
          </w:p>
        </w:tc>
        <w:tc>
          <w:tcPr>
            <w:tcW w:w="671" w:type="dxa"/>
            <w:shd w:val="clear" w:color="auto" w:fill="auto"/>
            <w:vAlign w:val="center"/>
          </w:tcPr>
          <w:p>
            <w:pPr>
              <w:jc w:val="center"/>
              <w:rPr>
                <w:sz w:val="20"/>
                <w:szCs w:val="20"/>
              </w:rPr>
            </w:pPr>
            <w:r>
              <w:rPr>
                <w:rFonts w:hint="eastAsia"/>
                <w:sz w:val="20"/>
                <w:szCs w:val="20"/>
              </w:rPr>
              <w:t>　</w:t>
            </w:r>
          </w:p>
        </w:tc>
        <w:tc>
          <w:tcPr>
            <w:tcW w:w="1948" w:type="dxa"/>
            <w:shd w:val="clear" w:color="auto" w:fill="auto"/>
            <w:vAlign w:val="center"/>
          </w:tcPr>
          <w:p>
            <w:pPr>
              <w:rPr>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550" w:type="dxa"/>
            <w:shd w:val="clear" w:color="auto" w:fill="auto"/>
            <w:vAlign w:val="center"/>
          </w:tcPr>
          <w:p>
            <w:pPr>
              <w:rPr>
                <w:sz w:val="20"/>
                <w:szCs w:val="20"/>
              </w:rPr>
            </w:pPr>
            <w:r>
              <w:rPr>
                <w:rFonts w:hint="eastAsia"/>
                <w:sz w:val="20"/>
                <w:szCs w:val="20"/>
              </w:rPr>
              <w:t>　</w:t>
            </w:r>
          </w:p>
        </w:tc>
        <w:tc>
          <w:tcPr>
            <w:tcW w:w="481" w:type="dxa"/>
            <w:shd w:val="clear" w:color="auto" w:fill="auto"/>
            <w:vAlign w:val="center"/>
          </w:tcPr>
          <w:p>
            <w:pPr>
              <w:rPr>
                <w:sz w:val="20"/>
                <w:szCs w:val="20"/>
              </w:rPr>
            </w:pPr>
            <w:r>
              <w:rPr>
                <w:rFonts w:hint="eastAsia"/>
                <w:sz w:val="20"/>
                <w:szCs w:val="20"/>
              </w:rPr>
              <w:t>　</w:t>
            </w:r>
          </w:p>
        </w:tc>
        <w:tc>
          <w:tcPr>
            <w:tcW w:w="511" w:type="dxa"/>
            <w:shd w:val="clear" w:color="auto" w:fill="auto"/>
            <w:vAlign w:val="center"/>
          </w:tcPr>
          <w:p>
            <w:pPr>
              <w:jc w:val="center"/>
              <w:rPr>
                <w:sz w:val="20"/>
                <w:szCs w:val="20"/>
              </w:rPr>
            </w:pPr>
            <w:r>
              <w:rPr>
                <w:rFonts w:hint="eastAsia"/>
                <w:sz w:val="20"/>
                <w:szCs w:val="20"/>
              </w:rPr>
              <w:t>　</w:t>
            </w:r>
          </w:p>
        </w:tc>
        <w:tc>
          <w:tcPr>
            <w:tcW w:w="394" w:type="dxa"/>
            <w:shd w:val="clear" w:color="auto" w:fill="auto"/>
            <w:vAlign w:val="center"/>
          </w:tcPr>
          <w:p>
            <w:pPr>
              <w:jc w:val="center"/>
              <w:rPr>
                <w:sz w:val="20"/>
                <w:szCs w:val="20"/>
              </w:rPr>
            </w:pPr>
            <w:r>
              <w:rPr>
                <w:rFonts w:hint="eastAsia"/>
                <w:sz w:val="20"/>
                <w:szCs w:val="20"/>
              </w:rPr>
              <w:t>100</w:t>
            </w:r>
          </w:p>
        </w:tc>
        <w:tc>
          <w:tcPr>
            <w:tcW w:w="393" w:type="dxa"/>
            <w:shd w:val="clear" w:color="auto" w:fill="auto"/>
            <w:vAlign w:val="center"/>
          </w:tcPr>
          <w:p>
            <w:pPr>
              <w:jc w:val="center"/>
              <w:rPr>
                <w:sz w:val="20"/>
                <w:szCs w:val="20"/>
              </w:rPr>
            </w:pPr>
            <w:r>
              <w:rPr>
                <w:rFonts w:hint="eastAsia"/>
                <w:sz w:val="20"/>
                <w:szCs w:val="20"/>
              </w:rPr>
              <w:t>89</w:t>
            </w:r>
          </w:p>
        </w:tc>
        <w:tc>
          <w:tcPr>
            <w:tcW w:w="1215" w:type="dxa"/>
            <w:shd w:val="clear" w:color="auto" w:fill="auto"/>
            <w:vAlign w:val="center"/>
          </w:tcPr>
          <w:p>
            <w:pPr>
              <w:rPr>
                <w:sz w:val="20"/>
                <w:szCs w:val="20"/>
              </w:rPr>
            </w:pPr>
            <w:r>
              <w:rPr>
                <w:rFonts w:hint="eastAsia"/>
                <w:sz w:val="20"/>
                <w:szCs w:val="20"/>
              </w:rPr>
              <w:t>　</w:t>
            </w:r>
          </w:p>
        </w:tc>
        <w:tc>
          <w:tcPr>
            <w:tcW w:w="5843" w:type="dxa"/>
            <w:shd w:val="clear" w:color="auto" w:fill="auto"/>
            <w:vAlign w:val="center"/>
          </w:tcPr>
          <w:p>
            <w:pPr>
              <w:rPr>
                <w:sz w:val="20"/>
                <w:szCs w:val="20"/>
              </w:rPr>
            </w:pPr>
            <w:r>
              <w:rPr>
                <w:rFonts w:hint="eastAsia"/>
                <w:sz w:val="20"/>
                <w:szCs w:val="20"/>
              </w:rPr>
              <w:t>　</w:t>
            </w:r>
          </w:p>
        </w:tc>
        <w:tc>
          <w:tcPr>
            <w:tcW w:w="472" w:type="dxa"/>
            <w:shd w:val="clear" w:color="auto" w:fill="auto"/>
            <w:vAlign w:val="center"/>
          </w:tcPr>
          <w:p>
            <w:pPr>
              <w:rPr>
                <w:sz w:val="20"/>
                <w:szCs w:val="20"/>
              </w:rPr>
            </w:pPr>
            <w:r>
              <w:rPr>
                <w:rFonts w:hint="eastAsia"/>
                <w:sz w:val="20"/>
                <w:szCs w:val="20"/>
              </w:rPr>
              <w:t>　</w:t>
            </w:r>
          </w:p>
        </w:tc>
        <w:tc>
          <w:tcPr>
            <w:tcW w:w="588" w:type="dxa"/>
            <w:shd w:val="clear" w:color="auto" w:fill="auto"/>
            <w:vAlign w:val="center"/>
          </w:tcPr>
          <w:p>
            <w:pPr>
              <w:rPr>
                <w:sz w:val="20"/>
                <w:szCs w:val="20"/>
              </w:rPr>
            </w:pPr>
            <w:r>
              <w:rPr>
                <w:rFonts w:hint="eastAsia"/>
                <w:sz w:val="20"/>
                <w:szCs w:val="20"/>
              </w:rPr>
              <w:t>　</w:t>
            </w:r>
          </w:p>
        </w:tc>
        <w:tc>
          <w:tcPr>
            <w:tcW w:w="604" w:type="dxa"/>
            <w:shd w:val="clear" w:color="auto" w:fill="auto"/>
            <w:vAlign w:val="center"/>
          </w:tcPr>
          <w:p>
            <w:pPr>
              <w:rPr>
                <w:sz w:val="20"/>
                <w:szCs w:val="20"/>
              </w:rPr>
            </w:pPr>
            <w:r>
              <w:rPr>
                <w:rFonts w:hint="eastAsia"/>
                <w:sz w:val="20"/>
                <w:szCs w:val="20"/>
              </w:rPr>
              <w:t>　</w:t>
            </w:r>
          </w:p>
        </w:tc>
        <w:tc>
          <w:tcPr>
            <w:tcW w:w="505" w:type="dxa"/>
            <w:shd w:val="clear" w:color="auto" w:fill="auto"/>
            <w:vAlign w:val="center"/>
          </w:tcPr>
          <w:p>
            <w:pPr>
              <w:rPr>
                <w:sz w:val="20"/>
                <w:szCs w:val="20"/>
              </w:rPr>
            </w:pPr>
            <w:r>
              <w:rPr>
                <w:rFonts w:hint="eastAsia"/>
                <w:sz w:val="20"/>
                <w:szCs w:val="20"/>
              </w:rPr>
              <w:t>　</w:t>
            </w:r>
          </w:p>
        </w:tc>
        <w:tc>
          <w:tcPr>
            <w:tcW w:w="671" w:type="dxa"/>
            <w:shd w:val="clear" w:color="auto" w:fill="auto"/>
            <w:vAlign w:val="center"/>
          </w:tcPr>
          <w:p>
            <w:pPr>
              <w:rPr>
                <w:sz w:val="20"/>
                <w:szCs w:val="20"/>
              </w:rPr>
            </w:pPr>
            <w:r>
              <w:rPr>
                <w:rFonts w:hint="eastAsia"/>
                <w:sz w:val="20"/>
                <w:szCs w:val="20"/>
              </w:rPr>
              <w:t>　</w:t>
            </w:r>
          </w:p>
        </w:tc>
        <w:tc>
          <w:tcPr>
            <w:tcW w:w="1948" w:type="dxa"/>
            <w:shd w:val="clear" w:color="auto" w:fill="auto"/>
            <w:vAlign w:val="center"/>
          </w:tcPr>
          <w:p>
            <w:pPr>
              <w:rPr>
                <w:sz w:val="20"/>
                <w:szCs w:val="20"/>
              </w:rPr>
            </w:pPr>
            <w:r>
              <w:rPr>
                <w:rFonts w:hint="eastAsia"/>
                <w:sz w:val="20"/>
                <w:szCs w:val="20"/>
              </w:rPr>
              <w:t>　</w:t>
            </w:r>
          </w:p>
        </w:tc>
      </w:tr>
    </w:tbl>
    <w:p>
      <w:pPr>
        <w:jc w:val="center"/>
        <w:rPr>
          <w:rFonts w:ascii="黑体" w:hAnsi="黑体" w:eastAsia="黑体"/>
        </w:rPr>
      </w:pPr>
    </w:p>
    <w:p>
      <w:pPr>
        <w:rPr>
          <w:rStyle w:val="22"/>
          <w:rFonts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hint="eastAsia" w:ascii="黑体" w:hAnsi="黑体" w:eastAsia="黑体"/>
          <w:b w:val="0"/>
          <w:bCs w:val="0"/>
          <w:sz w:val="32"/>
          <w:szCs w:val="32"/>
        </w:rPr>
      </w:pPr>
    </w:p>
    <w:p>
      <w:pPr>
        <w:rPr>
          <w:rStyle w:val="22"/>
          <w:rFonts w:ascii="黑体" w:hAnsi="黑体" w:eastAsia="黑体"/>
          <w:b w:val="0"/>
          <w:bCs w:val="0"/>
          <w:sz w:val="32"/>
          <w:szCs w:val="32"/>
        </w:rPr>
      </w:pPr>
    </w:p>
    <w:p>
      <w:pPr>
        <w:spacing w:line="600" w:lineRule="exact"/>
        <w:jc w:val="center"/>
        <w:outlineLvl w:val="0"/>
        <w:rPr>
          <w:rStyle w:val="22"/>
          <w:rFonts w:ascii="黑体" w:hAnsi="黑体" w:eastAsia="黑体"/>
          <w:b w:val="0"/>
          <w:bCs w:val="0"/>
        </w:rPr>
      </w:pPr>
      <w:bookmarkStart w:id="42" w:name="_Toc15396618"/>
      <w:r>
        <w:rPr>
          <w:rFonts w:hint="eastAsia" w:ascii="黑体" w:hAnsi="黑体" w:eastAsia="黑体" w:cs="黑体"/>
          <w:color w:val="000000"/>
          <w:sz w:val="44"/>
          <w:szCs w:val="44"/>
        </w:rPr>
        <w:t>第</w:t>
      </w:r>
      <w:r>
        <w:rPr>
          <w:rStyle w:val="22"/>
          <w:rFonts w:hint="eastAsia" w:ascii="黑体" w:hAnsi="黑体" w:eastAsia="黑体" w:cs="黑体"/>
          <w:b w:val="0"/>
          <w:bCs w:val="0"/>
        </w:rPr>
        <w:t>五部分</w:t>
      </w:r>
      <w:r>
        <w:rPr>
          <w:rStyle w:val="22"/>
          <w:rFonts w:ascii="黑体" w:hAnsi="黑体" w:eastAsia="黑体" w:cs="黑体"/>
          <w:b w:val="0"/>
          <w:bCs w:val="0"/>
        </w:rPr>
        <w:t xml:space="preserve"> </w:t>
      </w:r>
      <w:r>
        <w:rPr>
          <w:rStyle w:val="22"/>
          <w:rFonts w:hint="eastAsia" w:ascii="黑体" w:hAnsi="黑体" w:eastAsia="黑体" w:cs="黑体"/>
          <w:b w:val="0"/>
          <w:bCs w:val="0"/>
        </w:rPr>
        <w:t>附表</w:t>
      </w:r>
      <w:bookmarkEnd w:id="40"/>
      <w:bookmarkEnd w:id="42"/>
    </w:p>
    <w:p>
      <w:pPr>
        <w:spacing w:line="600" w:lineRule="exact"/>
        <w:jc w:val="center"/>
        <w:outlineLvl w:val="0"/>
        <w:rPr>
          <w:rFonts w:ascii="仿宋" w:hAnsi="仿宋" w:eastAsia="仿宋"/>
          <w:color w:val="000000"/>
          <w:sz w:val="44"/>
          <w:szCs w:val="44"/>
        </w:rPr>
      </w:pPr>
    </w:p>
    <w:p>
      <w:pPr>
        <w:rPr>
          <w:rFonts w:ascii="仿宋_GB2312" w:eastAsia="仿宋_GB2312"/>
          <w:sz w:val="32"/>
          <w:szCs w:val="32"/>
        </w:rPr>
      </w:pPr>
      <w:bookmarkStart w:id="43" w:name="_Toc15396619"/>
      <w:r>
        <w:rPr>
          <w:rFonts w:hint="eastAsia" w:ascii="仿宋_GB2312" w:eastAsia="仿宋_GB2312" w:cs="仿宋_GB2312"/>
          <w:sz w:val="32"/>
          <w:szCs w:val="32"/>
        </w:rPr>
        <w:t>一、收入支出决算总表</w:t>
      </w:r>
      <w:bookmarkEnd w:id="43"/>
    </w:p>
    <w:p>
      <w:pPr>
        <w:rPr>
          <w:rFonts w:ascii="仿宋_GB2312" w:eastAsia="仿宋_GB2312"/>
          <w:sz w:val="32"/>
          <w:szCs w:val="32"/>
        </w:rPr>
      </w:pPr>
      <w:bookmarkStart w:id="44" w:name="_Toc15396620"/>
      <w:r>
        <w:rPr>
          <w:rFonts w:hint="eastAsia" w:ascii="仿宋_GB2312" w:eastAsia="仿宋_GB2312" w:cs="仿宋_GB2312"/>
          <w:sz w:val="32"/>
          <w:szCs w:val="32"/>
        </w:rPr>
        <w:t>二、收入总表</w:t>
      </w:r>
      <w:bookmarkEnd w:id="44"/>
    </w:p>
    <w:p>
      <w:pPr>
        <w:rPr>
          <w:rFonts w:ascii="仿宋_GB2312" w:eastAsia="仿宋_GB2312"/>
          <w:sz w:val="32"/>
          <w:szCs w:val="32"/>
        </w:rPr>
      </w:pPr>
      <w:bookmarkStart w:id="45" w:name="_Toc15396621"/>
      <w:r>
        <w:rPr>
          <w:rFonts w:hint="eastAsia" w:ascii="仿宋_GB2312" w:eastAsia="仿宋_GB2312" w:cs="仿宋_GB2312"/>
          <w:sz w:val="32"/>
          <w:szCs w:val="32"/>
        </w:rPr>
        <w:t>三、支出总表</w:t>
      </w:r>
      <w:bookmarkEnd w:id="45"/>
    </w:p>
    <w:p>
      <w:pPr>
        <w:rPr>
          <w:rFonts w:ascii="仿宋_GB2312" w:eastAsia="仿宋_GB2312"/>
          <w:sz w:val="32"/>
          <w:szCs w:val="32"/>
        </w:rPr>
      </w:pPr>
      <w:bookmarkStart w:id="46" w:name="_Toc15396622"/>
      <w:r>
        <w:rPr>
          <w:rFonts w:hint="eastAsia" w:ascii="仿宋_GB2312" w:eastAsia="仿宋_GB2312" w:cs="仿宋_GB2312"/>
          <w:sz w:val="32"/>
          <w:szCs w:val="32"/>
        </w:rPr>
        <w:t>四、财政拨款收入支出决算总表</w:t>
      </w:r>
      <w:bookmarkEnd w:id="46"/>
    </w:p>
    <w:p>
      <w:pPr>
        <w:rPr>
          <w:rFonts w:ascii="仿宋_GB2312" w:eastAsia="仿宋_GB2312"/>
          <w:sz w:val="32"/>
          <w:szCs w:val="32"/>
        </w:rPr>
      </w:pPr>
      <w:bookmarkStart w:id="47" w:name="_Toc15396623"/>
      <w:r>
        <w:rPr>
          <w:rFonts w:hint="eastAsia" w:ascii="仿宋_GB2312" w:eastAsia="仿宋_GB2312" w:cs="仿宋_GB2312"/>
          <w:sz w:val="32"/>
          <w:szCs w:val="32"/>
        </w:rPr>
        <w:t>五、财政拨款支出决算明细表（政府经济分类科目）</w:t>
      </w:r>
      <w:bookmarkEnd w:id="47"/>
    </w:p>
    <w:p>
      <w:pPr>
        <w:rPr>
          <w:rFonts w:ascii="仿宋_GB2312" w:eastAsia="仿宋_GB2312"/>
          <w:sz w:val="32"/>
          <w:szCs w:val="32"/>
        </w:rPr>
      </w:pPr>
      <w:bookmarkStart w:id="48" w:name="_Toc15396624"/>
      <w:r>
        <w:rPr>
          <w:rFonts w:hint="eastAsia" w:ascii="仿宋_GB2312" w:eastAsia="仿宋_GB2312" w:cs="仿宋_GB2312"/>
          <w:sz w:val="32"/>
          <w:szCs w:val="32"/>
        </w:rPr>
        <w:t>六、一般公共预算财政拨款支出决算表</w:t>
      </w:r>
      <w:bookmarkEnd w:id="48"/>
    </w:p>
    <w:p>
      <w:pPr>
        <w:rPr>
          <w:rFonts w:ascii="仿宋_GB2312" w:eastAsia="仿宋_GB2312"/>
          <w:sz w:val="32"/>
          <w:szCs w:val="32"/>
        </w:rPr>
      </w:pPr>
      <w:bookmarkStart w:id="49" w:name="_Toc15396625"/>
      <w:r>
        <w:rPr>
          <w:rFonts w:hint="eastAsia" w:ascii="仿宋_GB2312" w:eastAsia="仿宋_GB2312" w:cs="仿宋_GB2312"/>
          <w:sz w:val="32"/>
          <w:szCs w:val="32"/>
        </w:rPr>
        <w:t>七、一般公共预算财政拨款支出决算明细表</w:t>
      </w:r>
      <w:bookmarkEnd w:id="49"/>
    </w:p>
    <w:p>
      <w:pPr>
        <w:rPr>
          <w:rFonts w:ascii="仿宋_GB2312" w:eastAsia="仿宋_GB2312"/>
          <w:sz w:val="32"/>
          <w:szCs w:val="32"/>
        </w:rPr>
      </w:pPr>
      <w:bookmarkStart w:id="50" w:name="_Toc15396626"/>
      <w:r>
        <w:rPr>
          <w:rFonts w:hint="eastAsia" w:ascii="仿宋_GB2312" w:eastAsia="仿宋_GB2312" w:cs="仿宋_GB2312"/>
          <w:sz w:val="32"/>
          <w:szCs w:val="32"/>
        </w:rPr>
        <w:t>八、一般公共预算财政拨款基本支出决算表</w:t>
      </w:r>
      <w:bookmarkEnd w:id="50"/>
    </w:p>
    <w:p>
      <w:pPr>
        <w:rPr>
          <w:rFonts w:ascii="仿宋_GB2312" w:eastAsia="仿宋_GB2312"/>
          <w:sz w:val="32"/>
          <w:szCs w:val="32"/>
        </w:rPr>
      </w:pPr>
      <w:bookmarkStart w:id="51" w:name="_Toc15396627"/>
      <w:r>
        <w:rPr>
          <w:rFonts w:hint="eastAsia" w:ascii="仿宋_GB2312" w:eastAsia="仿宋_GB2312" w:cs="仿宋_GB2312"/>
          <w:sz w:val="32"/>
          <w:szCs w:val="32"/>
        </w:rPr>
        <w:t>九、一般公共预算财政拨款项目支出决算表</w:t>
      </w:r>
      <w:bookmarkEnd w:id="51"/>
    </w:p>
    <w:p>
      <w:pPr>
        <w:rPr>
          <w:rFonts w:ascii="仿宋_GB2312" w:eastAsia="仿宋_GB2312"/>
          <w:sz w:val="32"/>
          <w:szCs w:val="32"/>
        </w:rPr>
      </w:pPr>
      <w:bookmarkStart w:id="52" w:name="_Toc15396628"/>
      <w:r>
        <w:rPr>
          <w:rFonts w:hint="eastAsia" w:ascii="仿宋_GB2312" w:eastAsia="仿宋_GB2312" w:cs="仿宋_GB2312"/>
          <w:sz w:val="32"/>
          <w:szCs w:val="32"/>
        </w:rPr>
        <w:t>十、一般公共预算财政拨款“三公”经费支出决算表</w:t>
      </w:r>
      <w:bookmarkEnd w:id="52"/>
    </w:p>
    <w:sectPr>
      <w:headerReference r:id="rId3" w:type="default"/>
      <w:footerReference r:id="rId4" w:type="default"/>
      <w:pgSz w:w="11906" w:h="16838"/>
      <w:pgMar w:top="1531" w:right="1418" w:bottom="1531" w:left="1418"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outside" w:y="1"/>
      <w:rPr>
        <w:rStyle w:val="19"/>
      </w:rPr>
    </w:pPr>
    <w:r>
      <w:rPr>
        <w:rStyle w:val="19"/>
      </w:rPr>
      <w:fldChar w:fldCharType="begin"/>
    </w:r>
    <w:r>
      <w:rPr>
        <w:rStyle w:val="19"/>
      </w:rPr>
      <w:instrText xml:space="preserve">PAGE  </w:instrText>
    </w:r>
    <w:r>
      <w:rPr>
        <w:rStyle w:val="19"/>
      </w:rPr>
      <w:fldChar w:fldCharType="separate"/>
    </w:r>
    <w:r>
      <w:rPr>
        <w:rStyle w:val="19"/>
      </w:rPr>
      <w:t>64</w:t>
    </w:r>
    <w:r>
      <w:rPr>
        <w:rStyle w:val="19"/>
      </w:rPr>
      <w:fldChar w:fldCharType="end"/>
    </w:r>
  </w:p>
  <w:p>
    <w:pPr>
      <w:pStyle w:val="10"/>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MGYzNTA0ZmViNWFmNzhkZjY5OWM0ODQ2ZjA2Y2YifQ=="/>
  </w:docVars>
  <w:rsids>
    <w:rsidRoot w:val="00F1361C"/>
    <w:rsid w:val="00013271"/>
    <w:rsid w:val="000222C6"/>
    <w:rsid w:val="0002549F"/>
    <w:rsid w:val="00027F4F"/>
    <w:rsid w:val="000350FC"/>
    <w:rsid w:val="0005329A"/>
    <w:rsid w:val="00057AD3"/>
    <w:rsid w:val="0006487A"/>
    <w:rsid w:val="00065F8F"/>
    <w:rsid w:val="00072AA1"/>
    <w:rsid w:val="000768F2"/>
    <w:rsid w:val="00080C1A"/>
    <w:rsid w:val="0009184B"/>
    <w:rsid w:val="0009593C"/>
    <w:rsid w:val="000A6DFA"/>
    <w:rsid w:val="000B047F"/>
    <w:rsid w:val="000B2CC1"/>
    <w:rsid w:val="000B5923"/>
    <w:rsid w:val="000B5A48"/>
    <w:rsid w:val="000B6D46"/>
    <w:rsid w:val="000B6FF3"/>
    <w:rsid w:val="000C3467"/>
    <w:rsid w:val="000C3CA6"/>
    <w:rsid w:val="000D1267"/>
    <w:rsid w:val="000D1D50"/>
    <w:rsid w:val="000D5782"/>
    <w:rsid w:val="000E3044"/>
    <w:rsid w:val="000E6613"/>
    <w:rsid w:val="000E7119"/>
    <w:rsid w:val="00114E9B"/>
    <w:rsid w:val="0013175F"/>
    <w:rsid w:val="001443C5"/>
    <w:rsid w:val="0014729F"/>
    <w:rsid w:val="00157BAB"/>
    <w:rsid w:val="00160E92"/>
    <w:rsid w:val="001654D1"/>
    <w:rsid w:val="00176D78"/>
    <w:rsid w:val="0018106D"/>
    <w:rsid w:val="001843B3"/>
    <w:rsid w:val="00186A29"/>
    <w:rsid w:val="001877A7"/>
    <w:rsid w:val="00191536"/>
    <w:rsid w:val="00192642"/>
    <w:rsid w:val="00192BC3"/>
    <w:rsid w:val="00196687"/>
    <w:rsid w:val="001A11A2"/>
    <w:rsid w:val="001B3C78"/>
    <w:rsid w:val="001B65B3"/>
    <w:rsid w:val="001C0371"/>
    <w:rsid w:val="001C0962"/>
    <w:rsid w:val="001D7531"/>
    <w:rsid w:val="001E3F53"/>
    <w:rsid w:val="001E4A11"/>
    <w:rsid w:val="001E737D"/>
    <w:rsid w:val="001F0592"/>
    <w:rsid w:val="001F23AE"/>
    <w:rsid w:val="001F7506"/>
    <w:rsid w:val="002006CD"/>
    <w:rsid w:val="00201F04"/>
    <w:rsid w:val="00202B36"/>
    <w:rsid w:val="00204B7A"/>
    <w:rsid w:val="0021101A"/>
    <w:rsid w:val="0021119A"/>
    <w:rsid w:val="00220536"/>
    <w:rsid w:val="00233C66"/>
    <w:rsid w:val="00235629"/>
    <w:rsid w:val="00240CAB"/>
    <w:rsid w:val="00260C38"/>
    <w:rsid w:val="002616C0"/>
    <w:rsid w:val="002656E5"/>
    <w:rsid w:val="002662AA"/>
    <w:rsid w:val="00276146"/>
    <w:rsid w:val="00280496"/>
    <w:rsid w:val="00285740"/>
    <w:rsid w:val="00295495"/>
    <w:rsid w:val="002B2613"/>
    <w:rsid w:val="002B6397"/>
    <w:rsid w:val="002D29F8"/>
    <w:rsid w:val="002D4E49"/>
    <w:rsid w:val="002D6732"/>
    <w:rsid w:val="002E7D43"/>
    <w:rsid w:val="002F0769"/>
    <w:rsid w:val="002F1818"/>
    <w:rsid w:val="002F567B"/>
    <w:rsid w:val="002F7D72"/>
    <w:rsid w:val="00305144"/>
    <w:rsid w:val="00307595"/>
    <w:rsid w:val="0031678B"/>
    <w:rsid w:val="003216A9"/>
    <w:rsid w:val="00351110"/>
    <w:rsid w:val="0037013F"/>
    <w:rsid w:val="00380C92"/>
    <w:rsid w:val="0038275C"/>
    <w:rsid w:val="00384951"/>
    <w:rsid w:val="003A484F"/>
    <w:rsid w:val="003B0BE0"/>
    <w:rsid w:val="003B0C1B"/>
    <w:rsid w:val="003B688C"/>
    <w:rsid w:val="003B7C09"/>
    <w:rsid w:val="003C0291"/>
    <w:rsid w:val="003C1947"/>
    <w:rsid w:val="003C39AE"/>
    <w:rsid w:val="003C6A43"/>
    <w:rsid w:val="003C7B60"/>
    <w:rsid w:val="003D1FB2"/>
    <w:rsid w:val="003D66DA"/>
    <w:rsid w:val="003E1310"/>
    <w:rsid w:val="003E376E"/>
    <w:rsid w:val="003E4320"/>
    <w:rsid w:val="003E6F55"/>
    <w:rsid w:val="00406254"/>
    <w:rsid w:val="004110FF"/>
    <w:rsid w:val="004223DE"/>
    <w:rsid w:val="00424AAC"/>
    <w:rsid w:val="00434489"/>
    <w:rsid w:val="00437085"/>
    <w:rsid w:val="0044342F"/>
    <w:rsid w:val="00443880"/>
    <w:rsid w:val="00445F7D"/>
    <w:rsid w:val="004464F4"/>
    <w:rsid w:val="004575EE"/>
    <w:rsid w:val="00461F24"/>
    <w:rsid w:val="00471401"/>
    <w:rsid w:val="00473F31"/>
    <w:rsid w:val="0048263A"/>
    <w:rsid w:val="00487E5D"/>
    <w:rsid w:val="004A072A"/>
    <w:rsid w:val="004A4093"/>
    <w:rsid w:val="004A711F"/>
    <w:rsid w:val="004B199D"/>
    <w:rsid w:val="004B4690"/>
    <w:rsid w:val="004C0E66"/>
    <w:rsid w:val="004C6572"/>
    <w:rsid w:val="004D47A2"/>
    <w:rsid w:val="004E0A2D"/>
    <w:rsid w:val="004E206B"/>
    <w:rsid w:val="004E6DF7"/>
    <w:rsid w:val="004F0FBD"/>
    <w:rsid w:val="004F6C21"/>
    <w:rsid w:val="004F718B"/>
    <w:rsid w:val="004F722A"/>
    <w:rsid w:val="004F7672"/>
    <w:rsid w:val="005054BB"/>
    <w:rsid w:val="00505A47"/>
    <w:rsid w:val="00512FDA"/>
    <w:rsid w:val="005151B9"/>
    <w:rsid w:val="00520DA0"/>
    <w:rsid w:val="00527A39"/>
    <w:rsid w:val="00531880"/>
    <w:rsid w:val="005351BA"/>
    <w:rsid w:val="00551603"/>
    <w:rsid w:val="0055343B"/>
    <w:rsid w:val="00557E2B"/>
    <w:rsid w:val="00563316"/>
    <w:rsid w:val="005664BB"/>
    <w:rsid w:val="005737CE"/>
    <w:rsid w:val="0057481D"/>
    <w:rsid w:val="0058486E"/>
    <w:rsid w:val="005958DF"/>
    <w:rsid w:val="005A0EDE"/>
    <w:rsid w:val="005A30A5"/>
    <w:rsid w:val="005B4B94"/>
    <w:rsid w:val="005C02BF"/>
    <w:rsid w:val="005C75FD"/>
    <w:rsid w:val="005D1C8B"/>
    <w:rsid w:val="005D5CED"/>
    <w:rsid w:val="005F1A4C"/>
    <w:rsid w:val="005F555B"/>
    <w:rsid w:val="005F6F5D"/>
    <w:rsid w:val="00600089"/>
    <w:rsid w:val="00605688"/>
    <w:rsid w:val="006070AF"/>
    <w:rsid w:val="00607E6C"/>
    <w:rsid w:val="006101B1"/>
    <w:rsid w:val="00614E44"/>
    <w:rsid w:val="00622830"/>
    <w:rsid w:val="00622DA1"/>
    <w:rsid w:val="006302D9"/>
    <w:rsid w:val="00630AEF"/>
    <w:rsid w:val="006325F8"/>
    <w:rsid w:val="00633CF7"/>
    <w:rsid w:val="00634C9A"/>
    <w:rsid w:val="006440E4"/>
    <w:rsid w:val="006557CC"/>
    <w:rsid w:val="0066343B"/>
    <w:rsid w:val="00664777"/>
    <w:rsid w:val="006748A4"/>
    <w:rsid w:val="00683E73"/>
    <w:rsid w:val="00696BBA"/>
    <w:rsid w:val="006A3141"/>
    <w:rsid w:val="006A5E34"/>
    <w:rsid w:val="006B2422"/>
    <w:rsid w:val="006B2B9A"/>
    <w:rsid w:val="006C1937"/>
    <w:rsid w:val="006C19E4"/>
    <w:rsid w:val="006D60CB"/>
    <w:rsid w:val="006F020C"/>
    <w:rsid w:val="006F5141"/>
    <w:rsid w:val="006F6F05"/>
    <w:rsid w:val="007127B7"/>
    <w:rsid w:val="007208FE"/>
    <w:rsid w:val="00736729"/>
    <w:rsid w:val="007416B6"/>
    <w:rsid w:val="00745DEB"/>
    <w:rsid w:val="00746F48"/>
    <w:rsid w:val="0075404D"/>
    <w:rsid w:val="0076182A"/>
    <w:rsid w:val="007668A4"/>
    <w:rsid w:val="00767B7E"/>
    <w:rsid w:val="00774418"/>
    <w:rsid w:val="007770C3"/>
    <w:rsid w:val="00783728"/>
    <w:rsid w:val="00784D24"/>
    <w:rsid w:val="00785FBA"/>
    <w:rsid w:val="00786E4A"/>
    <w:rsid w:val="007875EB"/>
    <w:rsid w:val="00787BC9"/>
    <w:rsid w:val="0079426B"/>
    <w:rsid w:val="007B6F8D"/>
    <w:rsid w:val="007C50E9"/>
    <w:rsid w:val="007C72F6"/>
    <w:rsid w:val="007D312A"/>
    <w:rsid w:val="007D3F19"/>
    <w:rsid w:val="007E23B0"/>
    <w:rsid w:val="007E73CB"/>
    <w:rsid w:val="007F1991"/>
    <w:rsid w:val="007F2C2F"/>
    <w:rsid w:val="007F55FC"/>
    <w:rsid w:val="007F5665"/>
    <w:rsid w:val="00800112"/>
    <w:rsid w:val="00812259"/>
    <w:rsid w:val="008145D1"/>
    <w:rsid w:val="0082144F"/>
    <w:rsid w:val="008253BB"/>
    <w:rsid w:val="0082724C"/>
    <w:rsid w:val="0083146C"/>
    <w:rsid w:val="0083706E"/>
    <w:rsid w:val="008423A5"/>
    <w:rsid w:val="00850625"/>
    <w:rsid w:val="00853718"/>
    <w:rsid w:val="00855221"/>
    <w:rsid w:val="00860645"/>
    <w:rsid w:val="00867AE1"/>
    <w:rsid w:val="00871F71"/>
    <w:rsid w:val="00885AF4"/>
    <w:rsid w:val="00892361"/>
    <w:rsid w:val="00892C90"/>
    <w:rsid w:val="008939CD"/>
    <w:rsid w:val="00894F42"/>
    <w:rsid w:val="0089720E"/>
    <w:rsid w:val="008B0B63"/>
    <w:rsid w:val="008B23BA"/>
    <w:rsid w:val="008B243D"/>
    <w:rsid w:val="008B2CA4"/>
    <w:rsid w:val="008B768C"/>
    <w:rsid w:val="008C4DB1"/>
    <w:rsid w:val="008C4EAF"/>
    <w:rsid w:val="008C5176"/>
    <w:rsid w:val="008C7FD0"/>
    <w:rsid w:val="008D4C54"/>
    <w:rsid w:val="008E1DE7"/>
    <w:rsid w:val="008E707C"/>
    <w:rsid w:val="00900B08"/>
    <w:rsid w:val="00902155"/>
    <w:rsid w:val="00902FA3"/>
    <w:rsid w:val="00923564"/>
    <w:rsid w:val="00923770"/>
    <w:rsid w:val="0092392E"/>
    <w:rsid w:val="00931128"/>
    <w:rsid w:val="009315F9"/>
    <w:rsid w:val="00943A74"/>
    <w:rsid w:val="00946945"/>
    <w:rsid w:val="00951248"/>
    <w:rsid w:val="0095152F"/>
    <w:rsid w:val="00954C49"/>
    <w:rsid w:val="00960EF9"/>
    <w:rsid w:val="00967844"/>
    <w:rsid w:val="0097099F"/>
    <w:rsid w:val="00971997"/>
    <w:rsid w:val="00971FFC"/>
    <w:rsid w:val="00982421"/>
    <w:rsid w:val="0098660A"/>
    <w:rsid w:val="009877F9"/>
    <w:rsid w:val="009931C3"/>
    <w:rsid w:val="00997FCE"/>
    <w:rsid w:val="009A4091"/>
    <w:rsid w:val="009B2C43"/>
    <w:rsid w:val="009B4EAE"/>
    <w:rsid w:val="009B7573"/>
    <w:rsid w:val="009C22F4"/>
    <w:rsid w:val="009C2E98"/>
    <w:rsid w:val="009D3447"/>
    <w:rsid w:val="009D4711"/>
    <w:rsid w:val="009F1185"/>
    <w:rsid w:val="009F18CD"/>
    <w:rsid w:val="009F2A13"/>
    <w:rsid w:val="00A02DF6"/>
    <w:rsid w:val="00A04EB0"/>
    <w:rsid w:val="00A13CC1"/>
    <w:rsid w:val="00A14256"/>
    <w:rsid w:val="00A1620F"/>
    <w:rsid w:val="00A16847"/>
    <w:rsid w:val="00A237D8"/>
    <w:rsid w:val="00A24F1C"/>
    <w:rsid w:val="00A268C4"/>
    <w:rsid w:val="00A26FEC"/>
    <w:rsid w:val="00A307CD"/>
    <w:rsid w:val="00A40A00"/>
    <w:rsid w:val="00A4142F"/>
    <w:rsid w:val="00A47D7F"/>
    <w:rsid w:val="00A56DF2"/>
    <w:rsid w:val="00A67142"/>
    <w:rsid w:val="00A67AB5"/>
    <w:rsid w:val="00A7074B"/>
    <w:rsid w:val="00A719B8"/>
    <w:rsid w:val="00A77A8C"/>
    <w:rsid w:val="00A91760"/>
    <w:rsid w:val="00A93B00"/>
    <w:rsid w:val="00A93C21"/>
    <w:rsid w:val="00A9654E"/>
    <w:rsid w:val="00AA0279"/>
    <w:rsid w:val="00AA63DC"/>
    <w:rsid w:val="00AA65EE"/>
    <w:rsid w:val="00AB0CC9"/>
    <w:rsid w:val="00AC3C6A"/>
    <w:rsid w:val="00AD5620"/>
    <w:rsid w:val="00AD7C1B"/>
    <w:rsid w:val="00AE16BA"/>
    <w:rsid w:val="00AE1EBE"/>
    <w:rsid w:val="00AE3C68"/>
    <w:rsid w:val="00B03C9D"/>
    <w:rsid w:val="00B060AE"/>
    <w:rsid w:val="00B10517"/>
    <w:rsid w:val="00B13DA7"/>
    <w:rsid w:val="00B14E76"/>
    <w:rsid w:val="00B161B8"/>
    <w:rsid w:val="00B2048C"/>
    <w:rsid w:val="00B310B9"/>
    <w:rsid w:val="00B35F3F"/>
    <w:rsid w:val="00B36CBB"/>
    <w:rsid w:val="00B425E0"/>
    <w:rsid w:val="00B440AA"/>
    <w:rsid w:val="00B44B70"/>
    <w:rsid w:val="00B53C56"/>
    <w:rsid w:val="00B629EE"/>
    <w:rsid w:val="00B660D5"/>
    <w:rsid w:val="00B77EA6"/>
    <w:rsid w:val="00B81598"/>
    <w:rsid w:val="00B841F1"/>
    <w:rsid w:val="00B944D6"/>
    <w:rsid w:val="00BA2599"/>
    <w:rsid w:val="00BB4DF0"/>
    <w:rsid w:val="00BC289F"/>
    <w:rsid w:val="00BC39D6"/>
    <w:rsid w:val="00BC5361"/>
    <w:rsid w:val="00BC5460"/>
    <w:rsid w:val="00BC650F"/>
    <w:rsid w:val="00BC6B50"/>
    <w:rsid w:val="00BD0E25"/>
    <w:rsid w:val="00BE14CD"/>
    <w:rsid w:val="00BF2EE5"/>
    <w:rsid w:val="00BF5BD6"/>
    <w:rsid w:val="00BF64F0"/>
    <w:rsid w:val="00C03E31"/>
    <w:rsid w:val="00C33E72"/>
    <w:rsid w:val="00C33FE6"/>
    <w:rsid w:val="00C354B2"/>
    <w:rsid w:val="00C35554"/>
    <w:rsid w:val="00C42709"/>
    <w:rsid w:val="00C43565"/>
    <w:rsid w:val="00C533CC"/>
    <w:rsid w:val="00C5751C"/>
    <w:rsid w:val="00C60FB3"/>
    <w:rsid w:val="00C61BFC"/>
    <w:rsid w:val="00C626F6"/>
    <w:rsid w:val="00C62B85"/>
    <w:rsid w:val="00C65438"/>
    <w:rsid w:val="00C67704"/>
    <w:rsid w:val="00C7245E"/>
    <w:rsid w:val="00C76B76"/>
    <w:rsid w:val="00C91CBB"/>
    <w:rsid w:val="00CB092E"/>
    <w:rsid w:val="00CC09B6"/>
    <w:rsid w:val="00CC666F"/>
    <w:rsid w:val="00CD1E3F"/>
    <w:rsid w:val="00CE1E3A"/>
    <w:rsid w:val="00CE44F6"/>
    <w:rsid w:val="00CE49DA"/>
    <w:rsid w:val="00CE7B61"/>
    <w:rsid w:val="00CF449B"/>
    <w:rsid w:val="00D00095"/>
    <w:rsid w:val="00D11179"/>
    <w:rsid w:val="00D20620"/>
    <w:rsid w:val="00D26091"/>
    <w:rsid w:val="00D34E7C"/>
    <w:rsid w:val="00D35489"/>
    <w:rsid w:val="00D44DEE"/>
    <w:rsid w:val="00D51276"/>
    <w:rsid w:val="00D7035F"/>
    <w:rsid w:val="00D71837"/>
    <w:rsid w:val="00D73059"/>
    <w:rsid w:val="00D81E5E"/>
    <w:rsid w:val="00D95274"/>
    <w:rsid w:val="00DA65AC"/>
    <w:rsid w:val="00DB0F51"/>
    <w:rsid w:val="00DB1913"/>
    <w:rsid w:val="00DC17DA"/>
    <w:rsid w:val="00DC410D"/>
    <w:rsid w:val="00DC68CA"/>
    <w:rsid w:val="00DC7CBA"/>
    <w:rsid w:val="00DD73B7"/>
    <w:rsid w:val="00DD75AE"/>
    <w:rsid w:val="00DE0959"/>
    <w:rsid w:val="00DF28BC"/>
    <w:rsid w:val="00DF34B9"/>
    <w:rsid w:val="00DF36E1"/>
    <w:rsid w:val="00DF62EA"/>
    <w:rsid w:val="00E01053"/>
    <w:rsid w:val="00E07ACF"/>
    <w:rsid w:val="00E15301"/>
    <w:rsid w:val="00E201FE"/>
    <w:rsid w:val="00E24D85"/>
    <w:rsid w:val="00E276FD"/>
    <w:rsid w:val="00E331A1"/>
    <w:rsid w:val="00E33202"/>
    <w:rsid w:val="00E336A9"/>
    <w:rsid w:val="00E4595E"/>
    <w:rsid w:val="00E50624"/>
    <w:rsid w:val="00E51212"/>
    <w:rsid w:val="00E568DF"/>
    <w:rsid w:val="00E64269"/>
    <w:rsid w:val="00E67009"/>
    <w:rsid w:val="00E71CF6"/>
    <w:rsid w:val="00E75CAF"/>
    <w:rsid w:val="00E77128"/>
    <w:rsid w:val="00E82267"/>
    <w:rsid w:val="00E83B83"/>
    <w:rsid w:val="00EA010F"/>
    <w:rsid w:val="00EA547E"/>
    <w:rsid w:val="00EB3660"/>
    <w:rsid w:val="00ED1B63"/>
    <w:rsid w:val="00ED319A"/>
    <w:rsid w:val="00ED3C1F"/>
    <w:rsid w:val="00ED4085"/>
    <w:rsid w:val="00ED420E"/>
    <w:rsid w:val="00EE2F57"/>
    <w:rsid w:val="00EE77A2"/>
    <w:rsid w:val="00EF4C34"/>
    <w:rsid w:val="00EF52D6"/>
    <w:rsid w:val="00EF77C6"/>
    <w:rsid w:val="00F05438"/>
    <w:rsid w:val="00F0560F"/>
    <w:rsid w:val="00F0616A"/>
    <w:rsid w:val="00F06DDB"/>
    <w:rsid w:val="00F1361C"/>
    <w:rsid w:val="00F160C7"/>
    <w:rsid w:val="00F16C7B"/>
    <w:rsid w:val="00F36D8F"/>
    <w:rsid w:val="00F417B1"/>
    <w:rsid w:val="00F45555"/>
    <w:rsid w:val="00F4711F"/>
    <w:rsid w:val="00F51F61"/>
    <w:rsid w:val="00F577D1"/>
    <w:rsid w:val="00F602DF"/>
    <w:rsid w:val="00F6150C"/>
    <w:rsid w:val="00F6182F"/>
    <w:rsid w:val="00F73592"/>
    <w:rsid w:val="00F81FD9"/>
    <w:rsid w:val="00F841AA"/>
    <w:rsid w:val="00F94402"/>
    <w:rsid w:val="00F97B3A"/>
    <w:rsid w:val="00FA23E8"/>
    <w:rsid w:val="00FB30C6"/>
    <w:rsid w:val="00FC688B"/>
    <w:rsid w:val="00FD13FC"/>
    <w:rsid w:val="00FD319B"/>
    <w:rsid w:val="00FD3CC1"/>
    <w:rsid w:val="00FF1E02"/>
    <w:rsid w:val="00FF30B4"/>
    <w:rsid w:val="10C055FF"/>
    <w:rsid w:val="16BB723D"/>
    <w:rsid w:val="240371BF"/>
    <w:rsid w:val="29FD04D3"/>
    <w:rsid w:val="319F7F4E"/>
    <w:rsid w:val="341529F1"/>
    <w:rsid w:val="3CB50F9D"/>
    <w:rsid w:val="5A966965"/>
    <w:rsid w:val="61066149"/>
    <w:rsid w:val="686D33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2"/>
    <w:semiHidden/>
    <w:unhideWhenUsed/>
    <w:qFormat/>
    <w:uiPriority w:val="99"/>
    <w:rPr>
      <w:sz w:val="18"/>
      <w:szCs w:val="18"/>
    </w:rPr>
  </w:style>
  <w:style w:type="paragraph" w:styleId="6">
    <w:name w:val="Body Text"/>
    <w:basedOn w:val="1"/>
    <w:link w:val="30"/>
    <w:qFormat/>
    <w:uiPriority w:val="99"/>
    <w:pPr>
      <w:spacing w:beforeLines="30"/>
    </w:pPr>
    <w:rPr>
      <w:rFonts w:ascii="仿宋_GB2312" w:hAnsi="Times New Roman" w:eastAsia="仿宋_GB2312" w:cs="Times New Roman"/>
    </w:rPr>
  </w:style>
  <w:style w:type="paragraph" w:styleId="7">
    <w:name w:val="toc 3"/>
    <w:basedOn w:val="1"/>
    <w:next w:val="1"/>
    <w:semiHidden/>
    <w:uiPriority w:val="99"/>
    <w:pPr>
      <w:tabs>
        <w:tab w:val="right" w:leader="dot" w:pos="8296"/>
      </w:tabs>
      <w:ind w:left="840" w:leftChars="400"/>
    </w:pPr>
  </w:style>
  <w:style w:type="paragraph" w:styleId="8">
    <w:name w:val="Date"/>
    <w:basedOn w:val="1"/>
    <w:next w:val="1"/>
    <w:link w:val="38"/>
    <w:semiHidden/>
    <w:uiPriority w:val="99"/>
    <w:pPr>
      <w:ind w:left="100" w:leftChars="2500"/>
    </w:pPr>
  </w:style>
  <w:style w:type="paragraph" w:styleId="9">
    <w:name w:val="Balloon Text"/>
    <w:basedOn w:val="1"/>
    <w:link w:val="34"/>
    <w:semiHidden/>
    <w:uiPriority w:val="99"/>
    <w:rPr>
      <w:sz w:val="18"/>
      <w:szCs w:val="18"/>
    </w:rPr>
  </w:style>
  <w:style w:type="paragraph" w:styleId="10">
    <w:name w:val="footer"/>
    <w:basedOn w:val="1"/>
    <w:link w:val="29"/>
    <w:qFormat/>
    <w:uiPriority w:val="99"/>
    <w:pPr>
      <w:tabs>
        <w:tab w:val="center" w:pos="4153"/>
        <w:tab w:val="right" w:pos="8306"/>
      </w:tabs>
      <w:snapToGrid w:val="0"/>
    </w:pPr>
    <w:rPr>
      <w:rFonts w:ascii="Calibri" w:hAnsi="Calibri" w:cs="Times New Roman"/>
      <w:sz w:val="18"/>
      <w:szCs w:val="18"/>
    </w:rPr>
  </w:style>
  <w:style w:type="paragraph" w:styleId="11">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2">
    <w:name w:val="toc 1"/>
    <w:basedOn w:val="1"/>
    <w:next w:val="1"/>
    <w:semiHidden/>
    <w:uiPriority w:val="99"/>
    <w:pPr>
      <w:tabs>
        <w:tab w:val="right" w:leader="dot" w:pos="8296"/>
      </w:tabs>
      <w:spacing w:before="93"/>
      <w:jc w:val="center"/>
    </w:pPr>
    <w:rPr>
      <w:rFonts w:ascii="仿宋" w:hAnsi="仿宋" w:eastAsia="仿宋" w:cs="仿宋"/>
      <w:sz w:val="28"/>
      <w:szCs w:val="28"/>
    </w:rPr>
  </w:style>
  <w:style w:type="paragraph" w:styleId="13">
    <w:name w:val="toc 2"/>
    <w:basedOn w:val="1"/>
    <w:next w:val="1"/>
    <w:semiHidden/>
    <w:uiPriority w:val="99"/>
    <w:pPr>
      <w:tabs>
        <w:tab w:val="right" w:leader="dot" w:pos="8296"/>
      </w:tabs>
      <w:ind w:left="420" w:leftChars="200"/>
    </w:pPr>
    <w:rPr>
      <w:rFonts w:ascii="仿宋" w:hAnsi="仿宋" w:eastAsia="仿宋" w:cs="仿宋"/>
      <w:sz w:val="28"/>
      <w:szCs w:val="28"/>
    </w:rPr>
  </w:style>
  <w:style w:type="paragraph" w:styleId="14">
    <w:name w:val="HTML Preformatted"/>
    <w:basedOn w:val="1"/>
    <w:link w:val="43"/>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5">
    <w:name w:val="Body Text First Indent"/>
    <w:basedOn w:val="6"/>
    <w:link w:val="35"/>
    <w:semiHidden/>
    <w:uiPriority w:val="99"/>
    <w:pPr>
      <w:spacing w:beforeLines="0" w:after="120"/>
      <w:ind w:firstLine="420" w:firstLineChars="100"/>
    </w:pPr>
    <w:rPr>
      <w:rFonts w:ascii="Times New Roman" w:eastAsia="宋体"/>
      <w:kern w:val="2"/>
      <w:sz w:val="21"/>
      <w:szCs w:val="21"/>
    </w:rPr>
  </w:style>
  <w:style w:type="character" w:styleId="18">
    <w:name w:val="Strong"/>
    <w:basedOn w:val="17"/>
    <w:qFormat/>
    <w:uiPriority w:val="99"/>
    <w:rPr>
      <w:b/>
      <w:bCs/>
    </w:rPr>
  </w:style>
  <w:style w:type="character" w:styleId="19">
    <w:name w:val="page number"/>
    <w:basedOn w:val="17"/>
    <w:uiPriority w:val="99"/>
  </w:style>
  <w:style w:type="character" w:styleId="20">
    <w:name w:val="Emphasis"/>
    <w:basedOn w:val="17"/>
    <w:qFormat/>
    <w:locked/>
    <w:uiPriority w:val="20"/>
  </w:style>
  <w:style w:type="character" w:styleId="21">
    <w:name w:val="Hyperlink"/>
    <w:basedOn w:val="17"/>
    <w:uiPriority w:val="99"/>
    <w:rPr>
      <w:color w:val="0000FF"/>
      <w:u w:val="single"/>
    </w:rPr>
  </w:style>
  <w:style w:type="character" w:customStyle="1" w:styleId="22">
    <w:name w:val="标题 1 Char"/>
    <w:basedOn w:val="17"/>
    <w:link w:val="2"/>
    <w:qFormat/>
    <w:locked/>
    <w:uiPriority w:val="99"/>
    <w:rPr>
      <w:rFonts w:ascii="Times New Roman" w:hAnsi="Times New Roman" w:cs="Times New Roman"/>
      <w:b/>
      <w:bCs/>
      <w:kern w:val="44"/>
      <w:sz w:val="44"/>
      <w:szCs w:val="44"/>
    </w:rPr>
  </w:style>
  <w:style w:type="character" w:customStyle="1" w:styleId="23">
    <w:name w:val="标题 2 Char"/>
    <w:basedOn w:val="17"/>
    <w:link w:val="3"/>
    <w:qFormat/>
    <w:locked/>
    <w:uiPriority w:val="9"/>
    <w:rPr>
      <w:rFonts w:ascii="Cambria" w:hAnsi="Cambria" w:eastAsia="宋体" w:cs="Cambria"/>
      <w:b/>
      <w:bCs/>
      <w:kern w:val="2"/>
      <w:sz w:val="32"/>
      <w:szCs w:val="32"/>
    </w:rPr>
  </w:style>
  <w:style w:type="character" w:customStyle="1" w:styleId="24">
    <w:name w:val="标题 3 Char"/>
    <w:basedOn w:val="17"/>
    <w:link w:val="4"/>
    <w:qFormat/>
    <w:locked/>
    <w:uiPriority w:val="99"/>
    <w:rPr>
      <w:rFonts w:ascii="Times New Roman" w:hAnsi="Times New Roman" w:cs="Times New Roman"/>
      <w:b/>
      <w:bCs/>
      <w:kern w:val="2"/>
      <w:sz w:val="32"/>
      <w:szCs w:val="32"/>
    </w:rPr>
  </w:style>
  <w:style w:type="character" w:customStyle="1" w:styleId="25">
    <w:name w:val="Body Text Char"/>
    <w:basedOn w:val="17"/>
    <w:link w:val="6"/>
    <w:semiHidden/>
    <w:qFormat/>
    <w:locked/>
    <w:uiPriority w:val="99"/>
    <w:rPr>
      <w:rFonts w:ascii="Times New Roman" w:hAnsi="Times New Roman" w:cs="Times New Roman"/>
      <w:sz w:val="24"/>
      <w:szCs w:val="24"/>
    </w:rPr>
  </w:style>
  <w:style w:type="character" w:customStyle="1" w:styleId="26">
    <w:name w:val="Footer Char"/>
    <w:basedOn w:val="17"/>
    <w:link w:val="10"/>
    <w:semiHidden/>
    <w:qFormat/>
    <w:locked/>
    <w:uiPriority w:val="99"/>
    <w:rPr>
      <w:rFonts w:ascii="Times New Roman" w:hAnsi="Times New Roman" w:cs="Times New Roman"/>
      <w:sz w:val="18"/>
      <w:szCs w:val="18"/>
    </w:rPr>
  </w:style>
  <w:style w:type="character" w:customStyle="1" w:styleId="27">
    <w:name w:val="Header Char"/>
    <w:basedOn w:val="17"/>
    <w:link w:val="11"/>
    <w:semiHidden/>
    <w:qFormat/>
    <w:locked/>
    <w:uiPriority w:val="99"/>
    <w:rPr>
      <w:rFonts w:ascii="Times New Roman" w:hAnsi="Times New Roman" w:cs="Times New Roman"/>
      <w:sz w:val="18"/>
      <w:szCs w:val="18"/>
    </w:rPr>
  </w:style>
  <w:style w:type="character" w:customStyle="1" w:styleId="28">
    <w:name w:val="页眉 Char"/>
    <w:link w:val="11"/>
    <w:semiHidden/>
    <w:qFormat/>
    <w:locked/>
    <w:uiPriority w:val="99"/>
    <w:rPr>
      <w:sz w:val="18"/>
      <w:szCs w:val="18"/>
    </w:rPr>
  </w:style>
  <w:style w:type="character" w:customStyle="1" w:styleId="29">
    <w:name w:val="页脚 Char"/>
    <w:link w:val="10"/>
    <w:qFormat/>
    <w:locked/>
    <w:uiPriority w:val="99"/>
    <w:rPr>
      <w:sz w:val="18"/>
      <w:szCs w:val="18"/>
    </w:rPr>
  </w:style>
  <w:style w:type="character" w:customStyle="1" w:styleId="30">
    <w:name w:val="正文文本 Char"/>
    <w:link w:val="6"/>
    <w:qFormat/>
    <w:locked/>
    <w:uiPriority w:val="99"/>
    <w:rPr>
      <w:rFonts w:ascii="仿宋_GB2312" w:hAnsi="Times New Roman" w:eastAsia="仿宋_GB2312" w:cs="仿宋_GB2312"/>
      <w:sz w:val="24"/>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TOC Heading"/>
    <w:basedOn w:val="2"/>
    <w:next w:val="1"/>
    <w:qFormat/>
    <w:uiPriority w:val="99"/>
    <w:pPr>
      <w:spacing w:before="480" w:after="0" w:line="276" w:lineRule="auto"/>
      <w:outlineLvl w:val="9"/>
    </w:pPr>
    <w:rPr>
      <w:rFonts w:ascii="Cambria" w:hAnsi="Cambria" w:cs="Cambria"/>
      <w:color w:val="365F91"/>
      <w:kern w:val="0"/>
      <w:sz w:val="28"/>
      <w:szCs w:val="28"/>
    </w:rPr>
  </w:style>
  <w:style w:type="character" w:customStyle="1" w:styleId="34">
    <w:name w:val="批注框文本 Char"/>
    <w:basedOn w:val="17"/>
    <w:link w:val="9"/>
    <w:semiHidden/>
    <w:locked/>
    <w:uiPriority w:val="99"/>
    <w:rPr>
      <w:rFonts w:ascii="Times New Roman" w:hAnsi="Times New Roman" w:cs="Times New Roman"/>
      <w:kern w:val="2"/>
      <w:sz w:val="18"/>
      <w:szCs w:val="18"/>
    </w:rPr>
  </w:style>
  <w:style w:type="character" w:customStyle="1" w:styleId="35">
    <w:name w:val="正文首行缩进 Char"/>
    <w:basedOn w:val="30"/>
    <w:link w:val="15"/>
    <w:semiHidden/>
    <w:locked/>
    <w:uiPriority w:val="99"/>
    <w:rPr>
      <w:rFonts w:ascii="Times New Roman" w:cs="Times New Roman"/>
      <w:kern w:val="2"/>
    </w:rPr>
  </w:style>
  <w:style w:type="paragraph" w:customStyle="1" w:styleId="36">
    <w:name w:val="常用样式（方正仿宋简）"/>
    <w:next w:val="10"/>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paragraph" w:customStyle="1" w:styleId="37">
    <w:name w:val="列出段落1"/>
    <w:basedOn w:val="1"/>
    <w:uiPriority w:val="99"/>
    <w:pPr>
      <w:ind w:firstLine="420" w:firstLineChars="200"/>
    </w:pPr>
  </w:style>
  <w:style w:type="character" w:customStyle="1" w:styleId="38">
    <w:name w:val="日期 Char"/>
    <w:basedOn w:val="17"/>
    <w:link w:val="8"/>
    <w:semiHidden/>
    <w:locked/>
    <w:uiPriority w:val="99"/>
    <w:rPr>
      <w:rFonts w:ascii="Times New Roman" w:hAnsi="Times New Roman" w:cs="Times New Roman"/>
      <w:kern w:val="2"/>
      <w:sz w:val="24"/>
      <w:szCs w:val="24"/>
    </w:rPr>
  </w:style>
  <w:style w:type="paragraph" w:customStyle="1" w:styleId="39">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40">
    <w:name w:val="默认段落字体1"/>
    <w:uiPriority w:val="0"/>
  </w:style>
  <w:style w:type="character" w:customStyle="1" w:styleId="41">
    <w:name w:val="默认段落字体2"/>
    <w:uiPriority w:val="0"/>
    <w:rPr>
      <w:sz w:val="22"/>
    </w:rPr>
  </w:style>
  <w:style w:type="character" w:customStyle="1" w:styleId="42">
    <w:name w:val="文档结构图 Char"/>
    <w:basedOn w:val="17"/>
    <w:link w:val="5"/>
    <w:semiHidden/>
    <w:uiPriority w:val="99"/>
    <w:rPr>
      <w:rFonts w:ascii="宋体" w:hAnsi="Times New Roman"/>
      <w:kern w:val="2"/>
      <w:sz w:val="18"/>
      <w:szCs w:val="18"/>
    </w:rPr>
  </w:style>
  <w:style w:type="character" w:customStyle="1" w:styleId="43">
    <w:name w:val="HTML 预设格式 Char"/>
    <w:basedOn w:val="17"/>
    <w:link w:val="14"/>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0&#24180;\2020&#24180;&#37096;&#38376;&#32463;&#36153;&#39044;&#31639;\2019&#24180;&#32463;&#36153;&#20915;&#31639;\2019&#24180;&#20915;&#31639;&#20844;&#24320;\&#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0&#24180;\2019&#24180;&#20915;&#31639;&#20250;&#23457;&#36164;&#26009;\&#26032;&#24314;%20Microsoft%20Office%20Excel%20&#24037;&#20316;&#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2020&#24180;\2019&#24180;&#20915;&#31639;&#20250;&#23457;&#36164;&#26009;\&#26032;&#24314;%20Microsoft%20Office%20Excel%20&#24037;&#20316;&#349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2020&#24180;\2019&#24180;&#20915;&#31639;&#20250;&#23457;&#36164;&#26009;\&#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Sheet1!$B$248</c:f>
              <c:strCache>
                <c:ptCount val="1"/>
                <c:pt idx="0">
                  <c:v>收入、支出总额（万元）</c:v>
                </c:pt>
              </c:strCache>
            </c:strRef>
          </c:tx>
          <c:invertIfNegative val="0"/>
          <c:dLbls>
            <c:delete val="1"/>
          </c:dLbls>
          <c:cat>
            <c:strRef>
              <c:f>Sheet1!$C$247:$D$247</c:f>
              <c:strCache>
                <c:ptCount val="2"/>
                <c:pt idx="0">
                  <c:v>2018年（万元）</c:v>
                </c:pt>
                <c:pt idx="1">
                  <c:v>2019年（万元）</c:v>
                </c:pt>
              </c:strCache>
            </c:strRef>
          </c:cat>
          <c:val>
            <c:numRef>
              <c:f>Sheet1!$C$248:$D$248</c:f>
              <c:numCache>
                <c:formatCode>0.00_ </c:formatCode>
                <c:ptCount val="2"/>
                <c:pt idx="0">
                  <c:v>6796.91</c:v>
                </c:pt>
                <c:pt idx="1">
                  <c:v>4784.16</c:v>
                </c:pt>
              </c:numCache>
            </c:numRef>
          </c:val>
        </c:ser>
        <c:dLbls>
          <c:showLegendKey val="0"/>
          <c:showVal val="0"/>
          <c:showCatName val="0"/>
          <c:showSerName val="0"/>
          <c:showPercent val="0"/>
          <c:showBubbleSize val="0"/>
        </c:dLbls>
        <c:gapWidth val="150"/>
        <c:axId val="132062592"/>
        <c:axId val="132118016"/>
      </c:barChart>
      <c:catAx>
        <c:axId val="132062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118016"/>
        <c:crosses val="autoZero"/>
        <c:auto val="1"/>
        <c:lblAlgn val="ctr"/>
        <c:lblOffset val="100"/>
        <c:noMultiLvlLbl val="0"/>
      </c:catAx>
      <c:valAx>
        <c:axId val="13211801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06259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Sheet1!$C$271</c:f>
              <c:strCache>
                <c:ptCount val="1"/>
                <c:pt idx="0">
                  <c:v>2019年各项收入占本年收入比重（万元）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Sheet1!$B$272:$B$274</c:f>
              <c:strCache>
                <c:ptCount val="3"/>
                <c:pt idx="1">
                  <c:v>财政拨款</c:v>
                </c:pt>
                <c:pt idx="2">
                  <c:v>其他收入</c:v>
                </c:pt>
              </c:strCache>
            </c:strRef>
          </c:cat>
          <c:val>
            <c:numRef>
              <c:f>Sheet1!$C$272:$C$274</c:f>
              <c:numCache>
                <c:formatCode>General</c:formatCode>
                <c:ptCount val="3"/>
                <c:pt idx="1">
                  <c:v>4006.36</c:v>
                </c:pt>
                <c:pt idx="2">
                  <c:v>442.92</c:v>
                </c:pt>
              </c:numCache>
            </c:numRef>
          </c:val>
        </c:ser>
        <c:ser>
          <c:idx val="1"/>
          <c:order val="1"/>
          <c:tx>
            <c:strRef>
              <c:f>Sheet1!$D$271</c:f>
              <c:strCache>
                <c:ptCount val="1"/>
                <c:pt idx="0">
                  <c:v>占比（%）</c:v>
                </c:pt>
              </c:strCache>
            </c:strRef>
          </c:tx>
          <c:explosion val="0"/>
          <c:dPt>
            <c:idx val="0"/>
            <c:bubble3D val="0"/>
          </c:dPt>
          <c:dPt>
            <c:idx val="1"/>
            <c:bubble3D val="0"/>
          </c:dPt>
          <c:dPt>
            <c:idx val="2"/>
            <c:bubble3D val="0"/>
          </c:dPt>
          <c:dLbls>
            <c:delete val="1"/>
          </c:dLbls>
          <c:cat>
            <c:strRef>
              <c:f>Sheet1!$B$272:$B$274</c:f>
              <c:strCache>
                <c:ptCount val="3"/>
                <c:pt idx="1">
                  <c:v>财政拨款</c:v>
                </c:pt>
                <c:pt idx="2">
                  <c:v>其他收入</c:v>
                </c:pt>
              </c:strCache>
            </c:strRef>
          </c:cat>
          <c:val>
            <c:numRef>
              <c:f>Sheet1!$D$272:$D$274</c:f>
              <c:numCache>
                <c:formatCode>General</c:formatCode>
                <c:ptCount val="3"/>
                <c:pt idx="1">
                  <c:v>90.1</c:v>
                </c:pt>
                <c:pt idx="2">
                  <c:v>9.9</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Sheet1!$C$31:$C$32</c:f>
              <c:strCache>
                <c:ptCount val="1"/>
                <c:pt idx="0">
                  <c:v>2019年各项支出占本年支出比重（万元）</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Sheet1!$B$33:$B$34</c:f>
              <c:strCache>
                <c:ptCount val="2"/>
                <c:pt idx="0">
                  <c:v>基本支出</c:v>
                </c:pt>
                <c:pt idx="1">
                  <c:v>项目支出</c:v>
                </c:pt>
              </c:strCache>
            </c:strRef>
          </c:cat>
          <c:val>
            <c:numRef>
              <c:f>Sheet1!$C$33:$C$34</c:f>
              <c:numCache>
                <c:formatCode>0.00_ </c:formatCode>
                <c:ptCount val="2"/>
                <c:pt idx="0">
                  <c:v>2781.22</c:v>
                </c:pt>
                <c:pt idx="1" c:formatCode="General">
                  <c:v>1611.28</c:v>
                </c:pt>
              </c:numCache>
            </c:numRef>
          </c:val>
        </c:ser>
        <c:ser>
          <c:idx val="1"/>
          <c:order val="1"/>
          <c:tx>
            <c:strRef>
              <c:f>Sheet1!$D$31:$D$32</c:f>
              <c:strCache>
                <c:ptCount val="1"/>
                <c:pt idx="0">
                  <c:v>占比（%）</c:v>
                </c:pt>
              </c:strCache>
            </c:strRef>
          </c:tx>
          <c:explosion val="25"/>
          <c:dPt>
            <c:idx val="0"/>
            <c:bubble3D val="0"/>
          </c:dPt>
          <c:dPt>
            <c:idx val="1"/>
            <c:bubble3D val="0"/>
          </c:dPt>
          <c:dLbls>
            <c:delete val="1"/>
          </c:dLbls>
          <c:cat>
            <c:strRef>
              <c:f>Sheet1!$B$33:$B$34</c:f>
              <c:strCache>
                <c:ptCount val="2"/>
                <c:pt idx="0">
                  <c:v>基本支出</c:v>
                </c:pt>
                <c:pt idx="1">
                  <c:v>项目支出</c:v>
                </c:pt>
              </c:strCache>
            </c:strRef>
          </c:cat>
          <c:val>
            <c:numRef>
              <c:f>Sheet1!$D$33:$D$34</c:f>
              <c:numCache>
                <c:formatCode>General</c:formatCode>
                <c:ptCount val="2"/>
                <c:pt idx="0">
                  <c:v>63.32</c:v>
                </c:pt>
                <c:pt idx="1">
                  <c:v>36.68</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Sheet1!$B$142</c:f>
              <c:strCache>
                <c:ptCount val="1"/>
                <c:pt idx="0">
                  <c:v>财政拨款收入支出</c:v>
                </c:pt>
              </c:strCache>
            </c:strRef>
          </c:tx>
          <c:invertIfNegative val="0"/>
          <c:dLbls>
            <c:delete val="1"/>
          </c:dLbls>
          <c:cat>
            <c:strRef>
              <c:f>Sheet1!$C$141:$D$141</c:f>
              <c:strCache>
                <c:ptCount val="2"/>
                <c:pt idx="0">
                  <c:v>2018年财政拨款收入支出金额（万元）</c:v>
                </c:pt>
                <c:pt idx="1">
                  <c:v>2019年财政拨款收入支出金额（万元）</c:v>
                </c:pt>
              </c:strCache>
            </c:strRef>
          </c:cat>
          <c:val>
            <c:numRef>
              <c:f>Sheet1!$C$142:$D$142</c:f>
              <c:numCache>
                <c:formatCode>General</c:formatCode>
                <c:ptCount val="2"/>
                <c:pt idx="0">
                  <c:v>5325.14</c:v>
                </c:pt>
                <c:pt idx="1">
                  <c:v>4114.17</c:v>
                </c:pt>
              </c:numCache>
            </c:numRef>
          </c:val>
        </c:ser>
        <c:dLbls>
          <c:showLegendKey val="0"/>
          <c:showVal val="0"/>
          <c:showCatName val="0"/>
          <c:showSerName val="0"/>
          <c:showPercent val="0"/>
          <c:showBubbleSize val="0"/>
        </c:dLbls>
        <c:gapWidth val="150"/>
        <c:axId val="144155008"/>
        <c:axId val="150500864"/>
      </c:barChart>
      <c:catAx>
        <c:axId val="144155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500864"/>
        <c:crosses val="autoZero"/>
        <c:auto val="1"/>
        <c:lblAlgn val="ctr"/>
        <c:lblOffset val="100"/>
        <c:noMultiLvlLbl val="0"/>
      </c:catAx>
      <c:valAx>
        <c:axId val="150500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1550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Sheet1!$B$170</c:f>
              <c:strCache>
                <c:ptCount val="1"/>
                <c:pt idx="0">
                  <c:v>一般公共预算财政拨款支出</c:v>
                </c:pt>
              </c:strCache>
            </c:strRef>
          </c:tx>
          <c:invertIfNegative val="0"/>
          <c:dLbls>
            <c:delete val="1"/>
          </c:dLbls>
          <c:cat>
            <c:strRef>
              <c:f>Sheet1!$C$169:$D$169</c:f>
              <c:strCache>
                <c:ptCount val="2"/>
                <c:pt idx="0">
                  <c:v>2018年（万元）</c:v>
                </c:pt>
                <c:pt idx="1">
                  <c:v>2019年（万元）</c:v>
                </c:pt>
              </c:strCache>
            </c:strRef>
          </c:cat>
          <c:val>
            <c:numRef>
              <c:f>Sheet1!$C$170:$D$170</c:f>
              <c:numCache>
                <c:formatCode>General</c:formatCode>
                <c:ptCount val="2"/>
                <c:pt idx="0">
                  <c:v>5166.07</c:v>
                </c:pt>
                <c:pt idx="1">
                  <c:v>3879.48</c:v>
                </c:pt>
              </c:numCache>
            </c:numRef>
          </c:val>
        </c:ser>
        <c:dLbls>
          <c:showLegendKey val="0"/>
          <c:showVal val="0"/>
          <c:showCatName val="0"/>
          <c:showSerName val="0"/>
          <c:showPercent val="0"/>
          <c:showBubbleSize val="0"/>
        </c:dLbls>
        <c:gapWidth val="150"/>
        <c:axId val="144155008"/>
        <c:axId val="258240512"/>
      </c:barChart>
      <c:catAx>
        <c:axId val="144155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8240512"/>
        <c:crosses val="autoZero"/>
        <c:auto val="1"/>
        <c:lblAlgn val="ctr"/>
        <c:lblOffset val="100"/>
        <c:noMultiLvlLbl val="0"/>
      </c:catAx>
      <c:valAx>
        <c:axId val="2582405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1550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Sheet1!$C$195:$C$196</c:f>
              <c:strCache>
                <c:ptCount val="1"/>
                <c:pt idx="0">
                  <c:v>2019年各项支出占总支出比重（万元）</c:v>
                </c:pt>
              </c:strCache>
            </c:strRef>
          </c:tx>
          <c:explosion val="25"/>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Sheet1!$B$197:$B$202</c:f>
              <c:strCache>
                <c:ptCount val="5"/>
                <c:pt idx="0">
                  <c:v>一般公共服务支出</c:v>
                </c:pt>
                <c:pt idx="1">
                  <c:v>社会保障和就业支出</c:v>
                </c:pt>
                <c:pt idx="2">
                  <c:v>医疗卫生与计划生育支出</c:v>
                </c:pt>
                <c:pt idx="3">
                  <c:v>住房改革支出</c:v>
                </c:pt>
                <c:pt idx="4">
                  <c:v>其他支出</c:v>
                </c:pt>
              </c:strCache>
            </c:strRef>
          </c:cat>
          <c:val>
            <c:numRef>
              <c:f>Sheet1!$C$197:$C$202</c:f>
              <c:numCache>
                <c:formatCode>0.00_);[Red]\(0.00\)</c:formatCode>
                <c:ptCount val="6"/>
                <c:pt idx="0">
                  <c:v>140</c:v>
                </c:pt>
                <c:pt idx="1">
                  <c:v>3427.81</c:v>
                </c:pt>
                <c:pt idx="2">
                  <c:v>102.15</c:v>
                </c:pt>
                <c:pt idx="3">
                  <c:v>209.39</c:v>
                </c:pt>
                <c:pt idx="4">
                  <c:v>0.13</c:v>
                </c:pt>
              </c:numCache>
            </c:numRef>
          </c:val>
        </c:ser>
        <c:ser>
          <c:idx val="1"/>
          <c:order val="1"/>
          <c:tx>
            <c:strRef>
              <c:f>Sheet1!$D$195:$D$196</c:f>
              <c:strCache>
                <c:ptCount val="1"/>
                <c:pt idx="0">
                  <c:v>占比（%）</c:v>
                </c:pt>
              </c:strCache>
            </c:strRef>
          </c:tx>
          <c:explosion val="25"/>
          <c:dPt>
            <c:idx val="0"/>
            <c:bubble3D val="0"/>
          </c:dPt>
          <c:dPt>
            <c:idx val="1"/>
            <c:bubble3D val="0"/>
          </c:dPt>
          <c:dPt>
            <c:idx val="2"/>
            <c:bubble3D val="0"/>
          </c:dPt>
          <c:dPt>
            <c:idx val="3"/>
            <c:bubble3D val="0"/>
          </c:dPt>
          <c:dPt>
            <c:idx val="4"/>
            <c:bubble3D val="0"/>
          </c:dPt>
          <c:dPt>
            <c:idx val="5"/>
            <c:bubble3D val="0"/>
          </c:dPt>
          <c:dLbls>
            <c:delete val="1"/>
          </c:dLbls>
          <c:cat>
            <c:strRef>
              <c:f>Sheet1!$B$197:$B$202</c:f>
              <c:strCache>
                <c:ptCount val="5"/>
                <c:pt idx="0">
                  <c:v>一般公共服务支出</c:v>
                </c:pt>
                <c:pt idx="1">
                  <c:v>社会保障和就业支出</c:v>
                </c:pt>
                <c:pt idx="2">
                  <c:v>医疗卫生与计划生育支出</c:v>
                </c:pt>
                <c:pt idx="3">
                  <c:v>住房改革支出</c:v>
                </c:pt>
                <c:pt idx="4">
                  <c:v>其他支出</c:v>
                </c:pt>
              </c:strCache>
            </c:strRef>
          </c:cat>
          <c:val>
            <c:numRef>
              <c:f>Sheet1!$D$197:$D$202</c:f>
              <c:numCache>
                <c:formatCode>General</c:formatCode>
                <c:ptCount val="6"/>
                <c:pt idx="0">
                  <c:v>3.61</c:v>
                </c:pt>
                <c:pt idx="1">
                  <c:v>88.36</c:v>
                </c:pt>
                <c:pt idx="2">
                  <c:v>2.63</c:v>
                </c:pt>
                <c:pt idx="3">
                  <c:v>5.39</c:v>
                </c:pt>
                <c:pt idx="4">
                  <c:v>0.01</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Sheet1!$C$219:$C$220</c:f>
              <c:strCache>
                <c:ptCount val="1"/>
                <c:pt idx="0">
                  <c:v>2019三公经费金额（万元）</c:v>
                </c:pt>
              </c:strCache>
            </c:strRef>
          </c:tx>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Sheet1!$B$221:$B$223</c:f>
              <c:strCache>
                <c:ptCount val="3"/>
                <c:pt idx="0">
                  <c:v>因公出国（境）费用</c:v>
                </c:pt>
                <c:pt idx="1">
                  <c:v>公务用车购置及运行维护</c:v>
                </c:pt>
                <c:pt idx="2">
                  <c:v>公务接待</c:v>
                </c:pt>
              </c:strCache>
            </c:strRef>
          </c:cat>
          <c:val>
            <c:numRef>
              <c:f>Sheet1!$C$221:$C$223</c:f>
              <c:numCache>
                <c:formatCode>General</c:formatCode>
                <c:ptCount val="3"/>
                <c:pt idx="0">
                  <c:v>5</c:v>
                </c:pt>
                <c:pt idx="1">
                  <c:v>11.88</c:v>
                </c:pt>
                <c:pt idx="2">
                  <c:v>5.08</c:v>
                </c:pt>
              </c:numCache>
            </c:numRef>
          </c:val>
        </c:ser>
        <c:ser>
          <c:idx val="1"/>
          <c:order val="1"/>
          <c:tx>
            <c:strRef>
              <c:f>Sheet1!$D$219:$D$220</c:f>
              <c:strCache>
                <c:ptCount val="1"/>
                <c:pt idx="0">
                  <c:v>占比（%）</c:v>
                </c:pt>
              </c:strCache>
            </c:strRef>
          </c:tx>
          <c:explosion val="25"/>
          <c:dPt>
            <c:idx val="0"/>
            <c:bubble3D val="0"/>
          </c:dPt>
          <c:dPt>
            <c:idx val="1"/>
            <c:bubble3D val="0"/>
          </c:dPt>
          <c:dPt>
            <c:idx val="2"/>
            <c:bubble3D val="0"/>
          </c:dPt>
          <c:dLbls>
            <c:delete val="1"/>
          </c:dLbls>
          <c:cat>
            <c:strRef>
              <c:f>Sheet1!$B$221:$B$223</c:f>
              <c:strCache>
                <c:ptCount val="3"/>
                <c:pt idx="0">
                  <c:v>因公出国（境）费用</c:v>
                </c:pt>
                <c:pt idx="1">
                  <c:v>公务用车购置及运行维护</c:v>
                </c:pt>
                <c:pt idx="2">
                  <c:v>公务接待</c:v>
                </c:pt>
              </c:strCache>
            </c:strRef>
          </c:cat>
          <c:val>
            <c:numRef>
              <c:f>Sheet1!$D$221:$D$223</c:f>
              <c:numCache>
                <c:formatCode>General</c:formatCode>
                <c:ptCount val="3"/>
                <c:pt idx="0">
                  <c:v>22.77</c:v>
                </c:pt>
                <c:pt idx="1">
                  <c:v>54.09</c:v>
                </c:pt>
                <c:pt idx="2">
                  <c:v>23.14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Sheet1!$C$1</c:f>
              <c:strCache>
                <c:ptCount val="1"/>
                <c:pt idx="0">
                  <c:v>2019年各项收入占总收入比重（万元）</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Sheet1!$B$2:$B$6</c:f>
              <c:strCache>
                <c:ptCount val="4"/>
                <c:pt idx="0">
                  <c:v>总收入</c:v>
                </c:pt>
                <c:pt idx="1">
                  <c:v>上年结余</c:v>
                </c:pt>
                <c:pt idx="2">
                  <c:v>财政拨款</c:v>
                </c:pt>
                <c:pt idx="3">
                  <c:v>其他收入</c:v>
                </c:pt>
              </c:strCache>
            </c:strRef>
          </c:cat>
          <c:val>
            <c:numRef>
              <c:f>Sheet1!$C$2:$C$6</c:f>
              <c:numCache>
                <c:formatCode>General</c:formatCode>
                <c:ptCount val="5"/>
                <c:pt idx="0">
                  <c:v>4784.16</c:v>
                </c:pt>
                <c:pt idx="1">
                  <c:v>337.88</c:v>
                </c:pt>
                <c:pt idx="2">
                  <c:v>4003.36</c:v>
                </c:pt>
                <c:pt idx="3">
                  <c:v>442.92</c:v>
                </c:pt>
              </c:numCache>
            </c:numRef>
          </c:val>
        </c:ser>
        <c:ser>
          <c:idx val="1"/>
          <c:order val="1"/>
          <c:tx>
            <c:strRef>
              <c:f>Sheet1!$D$1</c:f>
              <c:strCache>
                <c:ptCount val="1"/>
                <c:pt idx="0">
                  <c:v>占比（%）</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Sheet1!$B$2:$B$6</c:f>
              <c:strCache>
                <c:ptCount val="4"/>
                <c:pt idx="0">
                  <c:v>总收入</c:v>
                </c:pt>
                <c:pt idx="1">
                  <c:v>上年结余</c:v>
                </c:pt>
                <c:pt idx="2">
                  <c:v>财政拨款</c:v>
                </c:pt>
                <c:pt idx="3">
                  <c:v>其他收入</c:v>
                </c:pt>
              </c:strCache>
            </c:strRef>
          </c:cat>
          <c:val>
            <c:numRef>
              <c:f>Sheet1!$D$2:$D$6</c:f>
              <c:numCache>
                <c:formatCode>General</c:formatCode>
                <c:ptCount val="5"/>
                <c:pt idx="0">
                  <c:v>100</c:v>
                </c:pt>
                <c:pt idx="1">
                  <c:v>7.06</c:v>
                </c:pt>
                <c:pt idx="2">
                  <c:v>83.68</c:v>
                </c:pt>
                <c:pt idx="3">
                  <c:v>9.26</c:v>
                </c:pt>
              </c:numCache>
            </c:numRef>
          </c:val>
        </c:ser>
        <c:dLbls>
          <c:showLegendKey val="1"/>
          <c:showVal val="1"/>
          <c:showCatName val="1"/>
          <c:showSerName val="1"/>
          <c:showPercent val="1"/>
          <c:showBubbleSize val="1"/>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Sheet1!$C$31:$C$32</c:f>
              <c:strCache>
                <c:ptCount val="1"/>
                <c:pt idx="0">
                  <c:v>2019年各项支出占总支出比重（万元）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Sheet1!$B$33:$B$34</c:f>
              <c:strCache>
                <c:ptCount val="2"/>
                <c:pt idx="0">
                  <c:v>基本支出</c:v>
                </c:pt>
                <c:pt idx="1">
                  <c:v>项目支出</c:v>
                </c:pt>
              </c:strCache>
            </c:strRef>
          </c:cat>
          <c:val>
            <c:numRef>
              <c:f>Sheet1!$C$33:$C$34</c:f>
              <c:numCache>
                <c:formatCode>0.00_ </c:formatCode>
                <c:ptCount val="2"/>
                <c:pt idx="0">
                  <c:v>2781.22</c:v>
                </c:pt>
                <c:pt idx="1" c:formatCode="General">
                  <c:v>1611.3</c:v>
                </c:pt>
              </c:numCache>
            </c:numRef>
          </c:val>
        </c:ser>
        <c:ser>
          <c:idx val="1"/>
          <c:order val="1"/>
          <c:tx>
            <c:strRef>
              <c:f>Sheet1!$D$31:$D$32</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Sheet1!$B$33:$B$34</c:f>
              <c:strCache>
                <c:ptCount val="2"/>
                <c:pt idx="0">
                  <c:v>基本支出</c:v>
                </c:pt>
                <c:pt idx="1">
                  <c:v>项目支出</c:v>
                </c:pt>
              </c:strCache>
            </c:strRef>
          </c:cat>
          <c:val>
            <c:numRef>
              <c:f>Sheet1!$D$33:$D$34</c:f>
              <c:numCache>
                <c:formatCode>General</c:formatCode>
                <c:ptCount val="2"/>
                <c:pt idx="0">
                  <c:v>63.32</c:v>
                </c:pt>
                <c:pt idx="1">
                  <c:v>36.68</c:v>
                </c:pt>
              </c:numCache>
            </c:numRef>
          </c:val>
        </c:ser>
        <c:dLbls>
          <c:showLegendKey val="1"/>
          <c:showVal val="1"/>
          <c:showCatName val="1"/>
          <c:showSerName val="1"/>
          <c:showPercent val="1"/>
          <c:showBubbleSize val="1"/>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C394-12CD-42F0-81CD-239308C81DC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27303</Words>
  <Characters>29603</Characters>
  <Lines>230</Lines>
  <Paragraphs>64</Paragraphs>
  <TotalTime>2130</TotalTime>
  <ScaleCrop>false</ScaleCrop>
  <LinksUpToDate>false</LinksUpToDate>
  <CharactersWithSpaces>30444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Administrator</cp:lastModifiedBy>
  <cp:lastPrinted>2019-09-17T01:03:00Z</cp:lastPrinted>
  <dcterms:modified xsi:type="dcterms:W3CDTF">2023-07-14T03:11:46Z</dcterms:modified>
  <dc:title>四川省***</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4CDA454B0F354DE58238E956E439BF04_13</vt:lpwstr>
  </property>
</Properties>
</file>